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6F" w:rsidRDefault="00DD686F" w:rsidP="00DD686F">
      <w:pPr>
        <w:rPr>
          <w:b/>
          <w:sz w:val="20"/>
          <w:szCs w:val="20"/>
        </w:rPr>
      </w:pPr>
      <w:r>
        <w:rPr>
          <w:b/>
          <w:sz w:val="20"/>
          <w:szCs w:val="20"/>
        </w:rPr>
        <w:t>BONUS</w:t>
      </w:r>
    </w:p>
    <w:tbl>
      <w:tblPr>
        <w:tblStyle w:val="TableGrid"/>
        <w:tblW w:w="0" w:type="auto"/>
        <w:tblLook w:val="04A0"/>
      </w:tblPr>
      <w:tblGrid>
        <w:gridCol w:w="1098"/>
        <w:gridCol w:w="4748"/>
        <w:gridCol w:w="4252"/>
        <w:gridCol w:w="1087"/>
        <w:gridCol w:w="3431"/>
      </w:tblGrid>
      <w:tr w:rsidR="00DD686F" w:rsidTr="009D6348">
        <w:tc>
          <w:tcPr>
            <w:tcW w:w="1098" w:type="dxa"/>
            <w:shd w:val="clear" w:color="auto" w:fill="FFC000"/>
          </w:tcPr>
          <w:p w:rsidR="00DD686F" w:rsidRDefault="00DD686F" w:rsidP="009D6348">
            <w:pPr>
              <w:jc w:val="center"/>
              <w:rPr>
                <w:b/>
                <w:sz w:val="20"/>
                <w:szCs w:val="20"/>
              </w:rPr>
            </w:pPr>
            <w:r>
              <w:rPr>
                <w:b/>
                <w:sz w:val="20"/>
                <w:szCs w:val="20"/>
              </w:rPr>
              <w:t>ITEM No.</w:t>
            </w:r>
          </w:p>
        </w:tc>
        <w:tc>
          <w:tcPr>
            <w:tcW w:w="4748" w:type="dxa"/>
            <w:shd w:val="clear" w:color="auto" w:fill="FFC000"/>
          </w:tcPr>
          <w:p w:rsidR="00DD686F" w:rsidRDefault="00DD686F" w:rsidP="009D6348">
            <w:pPr>
              <w:jc w:val="center"/>
              <w:rPr>
                <w:b/>
                <w:sz w:val="20"/>
                <w:szCs w:val="20"/>
              </w:rPr>
            </w:pPr>
            <w:r>
              <w:rPr>
                <w:b/>
                <w:sz w:val="20"/>
                <w:szCs w:val="20"/>
              </w:rPr>
              <w:t>GOVERNING STANDARD</w:t>
            </w:r>
          </w:p>
        </w:tc>
        <w:tc>
          <w:tcPr>
            <w:tcW w:w="4252" w:type="dxa"/>
            <w:shd w:val="clear" w:color="auto" w:fill="FFC000"/>
          </w:tcPr>
          <w:p w:rsidR="00DD686F" w:rsidRDefault="00DD686F" w:rsidP="009D6348">
            <w:pPr>
              <w:jc w:val="center"/>
              <w:rPr>
                <w:b/>
                <w:sz w:val="20"/>
                <w:szCs w:val="20"/>
              </w:rPr>
            </w:pPr>
            <w:r>
              <w:rPr>
                <w:b/>
                <w:sz w:val="20"/>
                <w:szCs w:val="20"/>
              </w:rPr>
              <w:t>APPLICABLE PRINCIPLE</w:t>
            </w:r>
          </w:p>
        </w:tc>
        <w:tc>
          <w:tcPr>
            <w:tcW w:w="1087" w:type="dxa"/>
            <w:shd w:val="clear" w:color="auto" w:fill="FFC000"/>
          </w:tcPr>
          <w:p w:rsidR="00DD686F" w:rsidRDefault="00DD686F" w:rsidP="009D6348">
            <w:pPr>
              <w:jc w:val="center"/>
              <w:rPr>
                <w:b/>
                <w:sz w:val="20"/>
                <w:szCs w:val="20"/>
              </w:rPr>
            </w:pPr>
            <w:r>
              <w:rPr>
                <w:b/>
                <w:sz w:val="20"/>
                <w:szCs w:val="20"/>
              </w:rPr>
              <w:t>RESPONSE</w:t>
            </w:r>
          </w:p>
        </w:tc>
        <w:tc>
          <w:tcPr>
            <w:tcW w:w="3431" w:type="dxa"/>
            <w:shd w:val="clear" w:color="auto" w:fill="FFC000"/>
          </w:tcPr>
          <w:p w:rsidR="00DD686F" w:rsidRDefault="00DD686F" w:rsidP="009D6348">
            <w:pPr>
              <w:jc w:val="center"/>
              <w:rPr>
                <w:b/>
                <w:sz w:val="20"/>
                <w:szCs w:val="20"/>
              </w:rPr>
            </w:pPr>
            <w:r>
              <w:rPr>
                <w:b/>
                <w:sz w:val="20"/>
                <w:szCs w:val="20"/>
              </w:rPr>
              <w:t>REFERENCE/SOURCE DOCUMENT</w:t>
            </w:r>
          </w:p>
        </w:tc>
      </w:tr>
      <w:tr w:rsidR="00DD686F" w:rsidTr="009D6348">
        <w:tc>
          <w:tcPr>
            <w:tcW w:w="14616" w:type="dxa"/>
            <w:gridSpan w:val="5"/>
            <w:shd w:val="clear" w:color="auto" w:fill="FFCC99"/>
          </w:tcPr>
          <w:p w:rsidR="00DD686F" w:rsidRDefault="00DD686F" w:rsidP="009D6348">
            <w:pPr>
              <w:rPr>
                <w:b/>
                <w:sz w:val="20"/>
                <w:szCs w:val="20"/>
              </w:rPr>
            </w:pPr>
            <w:r>
              <w:rPr>
                <w:b/>
                <w:sz w:val="20"/>
                <w:szCs w:val="20"/>
              </w:rPr>
              <w:t>A. Rights of shareholders</w:t>
            </w:r>
          </w:p>
        </w:tc>
      </w:tr>
      <w:tr w:rsidR="00DD686F" w:rsidTr="009D6348">
        <w:trPr>
          <w:trHeight w:val="879"/>
        </w:trPr>
        <w:tc>
          <w:tcPr>
            <w:tcW w:w="1098" w:type="dxa"/>
          </w:tcPr>
          <w:p w:rsidR="00DD686F" w:rsidRDefault="00DD686F" w:rsidP="009D6348">
            <w:pPr>
              <w:rPr>
                <w:rFonts w:ascii="Calibri" w:hAnsi="Calibri" w:cs="Calibri"/>
                <w:sz w:val="20"/>
                <w:szCs w:val="20"/>
              </w:rPr>
            </w:pPr>
            <w:r>
              <w:rPr>
                <w:rFonts w:ascii="Calibri" w:hAnsi="Calibri" w:cs="Calibri"/>
                <w:sz w:val="20"/>
                <w:szCs w:val="20"/>
              </w:rPr>
              <w:t>A.1</w:t>
            </w:r>
          </w:p>
          <w:p w:rsidR="00DD686F" w:rsidRDefault="00DD686F" w:rsidP="009D6348">
            <w:pPr>
              <w:rPr>
                <w:rFonts w:ascii="Calibri" w:hAnsi="Calibri" w:cs="Calibri"/>
                <w:sz w:val="20"/>
                <w:szCs w:val="20"/>
              </w:rPr>
            </w:pPr>
          </w:p>
        </w:tc>
        <w:tc>
          <w:tcPr>
            <w:tcW w:w="4748" w:type="dxa"/>
          </w:tcPr>
          <w:p w:rsidR="00DD686F" w:rsidRDefault="00DD686F" w:rsidP="009D6348">
            <w:pPr>
              <w:rPr>
                <w:rFonts w:ascii="Calibri" w:hAnsi="Calibri" w:cs="Calibri"/>
                <w:sz w:val="20"/>
                <w:szCs w:val="20"/>
              </w:rPr>
            </w:pPr>
            <w:r>
              <w:rPr>
                <w:rFonts w:ascii="Calibri" w:hAnsi="Calibri" w:cs="Calibri"/>
                <w:sz w:val="20"/>
                <w:szCs w:val="20"/>
              </w:rPr>
              <w:t xml:space="preserve">Does the company allow the use of secure electronic voting in </w:t>
            </w:r>
            <w:proofErr w:type="gramStart"/>
            <w:r>
              <w:rPr>
                <w:rFonts w:ascii="Calibri" w:hAnsi="Calibri" w:cs="Calibri"/>
                <w:sz w:val="20"/>
                <w:szCs w:val="20"/>
              </w:rPr>
              <w:t>absentia  at</w:t>
            </w:r>
            <w:proofErr w:type="gramEnd"/>
            <w:r>
              <w:rPr>
                <w:rFonts w:ascii="Calibri" w:hAnsi="Calibri" w:cs="Calibri"/>
                <w:sz w:val="20"/>
                <w:szCs w:val="20"/>
              </w:rPr>
              <w:t xml:space="preserve"> the general meetings of shareholders?</w:t>
            </w:r>
          </w:p>
        </w:tc>
        <w:tc>
          <w:tcPr>
            <w:tcW w:w="4252" w:type="dxa"/>
          </w:tcPr>
          <w:p w:rsidR="00DD686F" w:rsidRPr="00B255BA" w:rsidRDefault="00DD686F" w:rsidP="009D6348">
            <w:pPr>
              <w:rPr>
                <w:b/>
                <w:bCs/>
                <w:sz w:val="18"/>
                <w:szCs w:val="20"/>
              </w:rPr>
            </w:pPr>
            <w:r w:rsidRPr="00B255BA">
              <w:rPr>
                <w:b/>
                <w:bCs/>
                <w:sz w:val="18"/>
                <w:szCs w:val="20"/>
              </w:rPr>
              <w:t>OECD Principle II (C</w:t>
            </w:r>
            <w:proofErr w:type="gramStart"/>
            <w:r w:rsidRPr="00B255BA">
              <w:rPr>
                <w:b/>
                <w:bCs/>
                <w:sz w:val="18"/>
                <w:szCs w:val="20"/>
              </w:rPr>
              <w:t>)</w:t>
            </w:r>
            <w:proofErr w:type="gramEnd"/>
            <w:r w:rsidRPr="00B255BA">
              <w:rPr>
                <w:b/>
                <w:bCs/>
                <w:sz w:val="18"/>
                <w:szCs w:val="20"/>
              </w:rPr>
              <w:br/>
              <w:t>(</w:t>
            </w:r>
            <w:r w:rsidRPr="00B255BA">
              <w:rPr>
                <w:b/>
                <w:sz w:val="18"/>
                <w:szCs w:val="20"/>
              </w:rPr>
              <w:t>4) Shareholders should be able to vote in person or in absentia, and equal effect should be given to votes whether cast in person or in absentia.</w:t>
            </w:r>
          </w:p>
        </w:tc>
        <w:tc>
          <w:tcPr>
            <w:tcW w:w="1087" w:type="dxa"/>
          </w:tcPr>
          <w:p w:rsidR="00DD686F" w:rsidRPr="0048441C" w:rsidRDefault="00DD686F" w:rsidP="009D6348">
            <w:pPr>
              <w:jc w:val="center"/>
              <w:rPr>
                <w:sz w:val="20"/>
                <w:szCs w:val="20"/>
              </w:rPr>
            </w:pPr>
            <w:r w:rsidRPr="0048441C">
              <w:rPr>
                <w:sz w:val="20"/>
                <w:szCs w:val="20"/>
              </w:rPr>
              <w:t>N</w:t>
            </w:r>
          </w:p>
        </w:tc>
        <w:tc>
          <w:tcPr>
            <w:tcW w:w="3431" w:type="dxa"/>
          </w:tcPr>
          <w:p w:rsidR="00DD686F" w:rsidRDefault="00DD686F" w:rsidP="009D6348">
            <w:pPr>
              <w:rPr>
                <w:b/>
                <w:sz w:val="20"/>
                <w:szCs w:val="20"/>
              </w:rPr>
            </w:pPr>
          </w:p>
        </w:tc>
      </w:tr>
    </w:tbl>
    <w:p w:rsidR="00DD686F" w:rsidRDefault="00DD686F" w:rsidP="00DD686F">
      <w:pPr>
        <w:spacing w:after="0" w:line="240" w:lineRule="auto"/>
      </w:pPr>
    </w:p>
    <w:tbl>
      <w:tblPr>
        <w:tblStyle w:val="TableGrid"/>
        <w:tblW w:w="0" w:type="auto"/>
        <w:tblLook w:val="04A0"/>
      </w:tblPr>
      <w:tblGrid>
        <w:gridCol w:w="1098"/>
        <w:gridCol w:w="4748"/>
        <w:gridCol w:w="4252"/>
        <w:gridCol w:w="1087"/>
        <w:gridCol w:w="3431"/>
      </w:tblGrid>
      <w:tr w:rsidR="00DD686F" w:rsidTr="009D6348">
        <w:tc>
          <w:tcPr>
            <w:tcW w:w="14616" w:type="dxa"/>
            <w:gridSpan w:val="5"/>
            <w:shd w:val="clear" w:color="auto" w:fill="FFCC99"/>
          </w:tcPr>
          <w:p w:rsidR="00DD686F" w:rsidRDefault="00DD686F" w:rsidP="009D6348">
            <w:pPr>
              <w:rPr>
                <w:b/>
                <w:sz w:val="20"/>
                <w:szCs w:val="20"/>
              </w:rPr>
            </w:pPr>
            <w:r>
              <w:br w:type="page"/>
            </w:r>
            <w:r>
              <w:rPr>
                <w:b/>
                <w:sz w:val="20"/>
                <w:szCs w:val="20"/>
              </w:rPr>
              <w:t>B. Equitable treatment of shareholders</w:t>
            </w:r>
          </w:p>
        </w:tc>
      </w:tr>
      <w:tr w:rsidR="00DD686F" w:rsidTr="009D6348">
        <w:tc>
          <w:tcPr>
            <w:tcW w:w="14616" w:type="dxa"/>
            <w:gridSpan w:val="5"/>
            <w:shd w:val="clear" w:color="auto" w:fill="FFCC99"/>
          </w:tcPr>
          <w:p w:rsidR="00DD686F" w:rsidRPr="00B255BA" w:rsidRDefault="00DD686F" w:rsidP="009D6348">
            <w:pPr>
              <w:rPr>
                <w:b/>
                <w:sz w:val="20"/>
              </w:rPr>
            </w:pPr>
            <w:r w:rsidRPr="00B255BA">
              <w:rPr>
                <w:b/>
                <w:sz w:val="20"/>
              </w:rPr>
              <w:t>B.1</w:t>
            </w:r>
            <w:r>
              <w:rPr>
                <w:b/>
                <w:sz w:val="20"/>
              </w:rPr>
              <w:t xml:space="preserve"> Notice of AGM</w:t>
            </w:r>
          </w:p>
        </w:tc>
      </w:tr>
      <w:tr w:rsidR="00DD686F" w:rsidTr="009D6348">
        <w:tc>
          <w:tcPr>
            <w:tcW w:w="1098" w:type="dxa"/>
          </w:tcPr>
          <w:p w:rsidR="00DD686F" w:rsidRDefault="00DD686F" w:rsidP="009D6348">
            <w:pPr>
              <w:rPr>
                <w:rFonts w:ascii="Calibri" w:hAnsi="Calibri" w:cs="Calibri"/>
                <w:sz w:val="20"/>
                <w:szCs w:val="20"/>
              </w:rPr>
            </w:pPr>
            <w:r>
              <w:rPr>
                <w:rFonts w:ascii="Calibri" w:hAnsi="Calibri" w:cs="Calibri"/>
                <w:sz w:val="20"/>
                <w:szCs w:val="20"/>
              </w:rPr>
              <w:t>B.1.1(B)</w:t>
            </w:r>
          </w:p>
          <w:p w:rsidR="00DD686F" w:rsidRPr="00B255BA" w:rsidRDefault="00DD686F" w:rsidP="009D6348">
            <w:pPr>
              <w:rPr>
                <w:rFonts w:ascii="Calibri" w:hAnsi="Calibri" w:cs="Calibri"/>
                <w:sz w:val="20"/>
                <w:szCs w:val="20"/>
              </w:rPr>
            </w:pPr>
          </w:p>
        </w:tc>
        <w:tc>
          <w:tcPr>
            <w:tcW w:w="4748" w:type="dxa"/>
          </w:tcPr>
          <w:p w:rsidR="00DD686F" w:rsidRDefault="00DD686F" w:rsidP="009D6348">
            <w:pPr>
              <w:rPr>
                <w:rFonts w:ascii="Calibri" w:hAnsi="Calibri" w:cs="Calibri"/>
                <w:sz w:val="20"/>
                <w:szCs w:val="20"/>
              </w:rPr>
            </w:pPr>
            <w:r>
              <w:rPr>
                <w:rFonts w:ascii="Calibri" w:hAnsi="Calibri" w:cs="Calibri"/>
                <w:sz w:val="20"/>
                <w:szCs w:val="20"/>
              </w:rPr>
              <w:t>Does the company release its notice of AGM (with detailed agendas and explanatory circulars), as announced to the Exchange, at least 28 days before the date of the meeting?</w:t>
            </w:r>
          </w:p>
          <w:p w:rsidR="00DD686F" w:rsidRPr="00904BA9" w:rsidRDefault="00DD686F" w:rsidP="009D6348">
            <w:pPr>
              <w:rPr>
                <w:rFonts w:ascii="Calibri" w:hAnsi="Calibri" w:cs="Calibri"/>
                <w:b/>
                <w:i/>
                <w:sz w:val="20"/>
                <w:szCs w:val="20"/>
              </w:rPr>
            </w:pPr>
          </w:p>
        </w:tc>
        <w:tc>
          <w:tcPr>
            <w:tcW w:w="4252" w:type="dxa"/>
          </w:tcPr>
          <w:p w:rsidR="00DD686F" w:rsidRDefault="00DD686F" w:rsidP="009D6348">
            <w:pPr>
              <w:rPr>
                <w:b/>
                <w:sz w:val="20"/>
                <w:szCs w:val="20"/>
              </w:rPr>
            </w:pPr>
            <w:r w:rsidRPr="00B255BA">
              <w:rPr>
                <w:b/>
                <w:bCs/>
                <w:sz w:val="20"/>
                <w:szCs w:val="20"/>
              </w:rPr>
              <w:t>OECD Principle II (C</w:t>
            </w:r>
            <w:proofErr w:type="gramStart"/>
            <w:r w:rsidRPr="00B255BA">
              <w:rPr>
                <w:b/>
                <w:bCs/>
                <w:sz w:val="20"/>
                <w:szCs w:val="20"/>
              </w:rPr>
              <w:t>)</w:t>
            </w:r>
            <w:proofErr w:type="gramEnd"/>
            <w:r w:rsidRPr="00B255BA">
              <w:rPr>
                <w:b/>
                <w:sz w:val="20"/>
                <w:szCs w:val="20"/>
              </w:rPr>
              <w:br/>
              <w:t>(1) Shareholders should be furnished with sufficient and timely information concerning the date, location and agenda of general meetings, as well as full and timely information regarding the issues to be decided at the meeting.</w:t>
            </w:r>
            <w:r w:rsidRPr="00B255BA">
              <w:rPr>
                <w:b/>
                <w:sz w:val="20"/>
                <w:szCs w:val="20"/>
              </w:rPr>
              <w:br/>
              <w:t>(3) Effective shareholder participation in key corporate governance decisions, such as the nomination and election of board members, should be facilitated.</w:t>
            </w:r>
            <w:r w:rsidRPr="00B255BA">
              <w:rPr>
                <w:b/>
                <w:sz w:val="20"/>
                <w:szCs w:val="20"/>
              </w:rPr>
              <w:br/>
            </w:r>
            <w:r w:rsidRPr="00B255BA">
              <w:rPr>
                <w:b/>
                <w:sz w:val="20"/>
                <w:szCs w:val="20"/>
              </w:rPr>
              <w:br/>
            </w:r>
            <w:r w:rsidRPr="00B255BA">
              <w:rPr>
                <w:b/>
                <w:bCs/>
                <w:sz w:val="20"/>
                <w:szCs w:val="20"/>
              </w:rPr>
              <w:t xml:space="preserve">OECD Principle III (A) </w:t>
            </w:r>
            <w:r w:rsidRPr="00B255BA">
              <w:rPr>
                <w:b/>
                <w:bCs/>
                <w:sz w:val="20"/>
                <w:szCs w:val="20"/>
              </w:rPr>
              <w:br/>
              <w:t>ICGN 8.3.2 Shareholder participation in governance</w:t>
            </w:r>
            <w:r w:rsidRPr="00B255BA">
              <w:rPr>
                <w:b/>
                <w:bCs/>
                <w:sz w:val="20"/>
                <w:szCs w:val="20"/>
              </w:rPr>
              <w:br/>
            </w:r>
            <w:r w:rsidRPr="00B255BA">
              <w:rPr>
                <w:b/>
                <w:sz w:val="20"/>
                <w:szCs w:val="20"/>
              </w:rPr>
              <w:t>Shareholders should have the right to participate in key corporate governance decisions, such as the right to nominate, appoint and remove directors on an individual basis and also the right to appoint external auditors.</w:t>
            </w:r>
            <w:r w:rsidRPr="00B255BA">
              <w:rPr>
                <w:b/>
                <w:sz w:val="20"/>
                <w:szCs w:val="20"/>
              </w:rPr>
              <w:br/>
            </w:r>
            <w:r w:rsidRPr="00B255BA">
              <w:rPr>
                <w:b/>
                <w:sz w:val="20"/>
                <w:szCs w:val="20"/>
              </w:rPr>
              <w:br/>
            </w:r>
            <w:r w:rsidRPr="00B255BA">
              <w:rPr>
                <w:b/>
                <w:bCs/>
                <w:sz w:val="20"/>
                <w:szCs w:val="20"/>
              </w:rPr>
              <w:t>ICGN 8.4.1 Shareholder ownership rights</w:t>
            </w:r>
            <w:r w:rsidRPr="00B255BA">
              <w:rPr>
                <w:b/>
                <w:sz w:val="20"/>
                <w:szCs w:val="20"/>
              </w:rPr>
              <w:br/>
              <w:t>The exercise of ownership rights by all shareholders should be facilitated, including giving shareholders timely and adequate notice of all matters proposed for shareholder vote.</w:t>
            </w:r>
            <w:r w:rsidRPr="00B255BA">
              <w:rPr>
                <w:b/>
                <w:sz w:val="20"/>
                <w:szCs w:val="20"/>
              </w:rPr>
              <w:br/>
            </w:r>
            <w:r w:rsidRPr="00B255BA">
              <w:rPr>
                <w:b/>
                <w:sz w:val="20"/>
                <w:szCs w:val="20"/>
              </w:rPr>
              <w:br/>
            </w:r>
            <w:r w:rsidRPr="00B255BA">
              <w:rPr>
                <w:b/>
                <w:bCs/>
                <w:sz w:val="20"/>
                <w:szCs w:val="20"/>
              </w:rPr>
              <w:t>CLSA-ACGA (2010) CG Watch 2010 - Appendix 2.</w:t>
            </w:r>
            <w:r w:rsidRPr="00B255BA">
              <w:rPr>
                <w:b/>
                <w:bCs/>
                <w:sz w:val="20"/>
                <w:szCs w:val="20"/>
              </w:rPr>
              <w:br/>
              <w:t xml:space="preserve">(I) CG rules and </w:t>
            </w:r>
            <w:proofErr w:type="gramStart"/>
            <w:r w:rsidRPr="00B255BA">
              <w:rPr>
                <w:b/>
                <w:bCs/>
                <w:sz w:val="20"/>
                <w:szCs w:val="20"/>
              </w:rPr>
              <w:t>practices</w:t>
            </w:r>
            <w:proofErr w:type="gramEnd"/>
            <w:r w:rsidRPr="00B255BA">
              <w:rPr>
                <w:b/>
                <w:sz w:val="20"/>
                <w:szCs w:val="20"/>
              </w:rPr>
              <w:br/>
              <w:t>(25) Do company release their AGM notices (with detailed agendas and explanatory circulars) at least 28 days before the date of the meeting?</w:t>
            </w:r>
          </w:p>
        </w:tc>
        <w:tc>
          <w:tcPr>
            <w:tcW w:w="1087" w:type="dxa"/>
          </w:tcPr>
          <w:p w:rsidR="00DD686F" w:rsidRPr="0048441C" w:rsidRDefault="00DD686F" w:rsidP="009D6348">
            <w:pPr>
              <w:jc w:val="center"/>
              <w:rPr>
                <w:sz w:val="20"/>
                <w:szCs w:val="20"/>
              </w:rPr>
            </w:pPr>
            <w:r>
              <w:rPr>
                <w:sz w:val="20"/>
                <w:szCs w:val="20"/>
              </w:rPr>
              <w:t>Y</w:t>
            </w:r>
          </w:p>
        </w:tc>
        <w:tc>
          <w:tcPr>
            <w:tcW w:w="3431" w:type="dxa"/>
          </w:tcPr>
          <w:p w:rsidR="00DD686F" w:rsidRPr="00D06F42" w:rsidRDefault="00DD686F" w:rsidP="009D6348">
            <w:pPr>
              <w:rPr>
                <w:b/>
                <w:sz w:val="20"/>
                <w:szCs w:val="20"/>
              </w:rPr>
            </w:pPr>
            <w:hyperlink r:id="rId4" w:history="1">
              <w:r w:rsidRPr="00D06F42">
                <w:rPr>
                  <w:rStyle w:val="Hyperlink"/>
                  <w:b/>
                  <w:sz w:val="20"/>
                  <w:szCs w:val="20"/>
                </w:rPr>
                <w:t>Notice of AGM 2015</w:t>
              </w:r>
            </w:hyperlink>
          </w:p>
        </w:tc>
      </w:tr>
      <w:tr w:rsidR="00DD686F" w:rsidTr="009D6348">
        <w:tc>
          <w:tcPr>
            <w:tcW w:w="14616" w:type="dxa"/>
            <w:gridSpan w:val="5"/>
            <w:shd w:val="clear" w:color="auto" w:fill="FFCC99"/>
          </w:tcPr>
          <w:p w:rsidR="00DD686F" w:rsidRPr="00B255BA" w:rsidRDefault="00DD686F" w:rsidP="009D6348">
            <w:pPr>
              <w:rPr>
                <w:rFonts w:ascii="Calibri" w:hAnsi="Calibri" w:cs="Calibri"/>
                <w:b/>
                <w:bCs/>
                <w:sz w:val="20"/>
                <w:szCs w:val="20"/>
              </w:rPr>
            </w:pPr>
            <w:r>
              <w:rPr>
                <w:rFonts w:ascii="Calibri" w:hAnsi="Calibri" w:cs="Calibri"/>
                <w:b/>
                <w:bCs/>
                <w:sz w:val="20"/>
                <w:szCs w:val="20"/>
              </w:rPr>
              <w:lastRenderedPageBreak/>
              <w:t>C. Roles of Stakeholders</w:t>
            </w:r>
          </w:p>
        </w:tc>
      </w:tr>
      <w:tr w:rsidR="00DD686F" w:rsidTr="009D6348">
        <w:tc>
          <w:tcPr>
            <w:tcW w:w="14616" w:type="dxa"/>
            <w:gridSpan w:val="5"/>
            <w:shd w:val="clear" w:color="auto" w:fill="FFCC99"/>
          </w:tcPr>
          <w:p w:rsidR="00DD686F" w:rsidRDefault="00DD686F" w:rsidP="009D6348">
            <w:pPr>
              <w:rPr>
                <w:rFonts w:ascii="Calibri" w:hAnsi="Calibri" w:cs="Calibri"/>
                <w:b/>
                <w:bCs/>
                <w:sz w:val="20"/>
                <w:szCs w:val="20"/>
              </w:rPr>
            </w:pPr>
            <w:r>
              <w:rPr>
                <w:rFonts w:ascii="Calibri" w:hAnsi="Calibri" w:cs="Calibri"/>
                <w:b/>
                <w:bCs/>
                <w:sz w:val="20"/>
                <w:szCs w:val="20"/>
              </w:rPr>
              <w:t xml:space="preserve">C.1 </w:t>
            </w:r>
            <w:r w:rsidRPr="00B255BA">
              <w:rPr>
                <w:rFonts w:ascii="Calibri" w:hAnsi="Calibri" w:cs="Calibri"/>
                <w:b/>
                <w:bCs/>
                <w:sz w:val="20"/>
                <w:szCs w:val="20"/>
              </w:rPr>
              <w:t>The rights of stakeholders that are established by law or through mutual agreements are to be respected</w:t>
            </w:r>
          </w:p>
        </w:tc>
      </w:tr>
      <w:tr w:rsidR="00DD686F" w:rsidTr="009D6348">
        <w:tc>
          <w:tcPr>
            <w:tcW w:w="1098" w:type="dxa"/>
          </w:tcPr>
          <w:p w:rsidR="00DD686F" w:rsidRDefault="00DD686F" w:rsidP="009D6348">
            <w:pPr>
              <w:rPr>
                <w:rFonts w:ascii="Calibri" w:hAnsi="Calibri" w:cs="Calibri"/>
                <w:sz w:val="20"/>
                <w:szCs w:val="20"/>
              </w:rPr>
            </w:pPr>
            <w:r>
              <w:rPr>
                <w:rFonts w:ascii="Calibri" w:hAnsi="Calibri" w:cs="Calibri"/>
                <w:sz w:val="20"/>
                <w:szCs w:val="20"/>
              </w:rPr>
              <w:t>C.1.1 (B)</w:t>
            </w:r>
          </w:p>
        </w:tc>
        <w:tc>
          <w:tcPr>
            <w:tcW w:w="4748" w:type="dxa"/>
          </w:tcPr>
          <w:p w:rsidR="00DD686F" w:rsidRDefault="00DD686F" w:rsidP="009D6348">
            <w:pPr>
              <w:rPr>
                <w:rFonts w:ascii="Calibri" w:hAnsi="Calibri" w:cs="Calibri"/>
                <w:sz w:val="20"/>
                <w:szCs w:val="20"/>
              </w:rPr>
            </w:pPr>
            <w:r>
              <w:rPr>
                <w:rFonts w:ascii="Calibri" w:hAnsi="Calibri" w:cs="Calibri"/>
                <w:sz w:val="20"/>
                <w:szCs w:val="20"/>
              </w:rPr>
              <w:t>Does the company practice integrated report on its annual reports?</w:t>
            </w:r>
          </w:p>
        </w:tc>
        <w:tc>
          <w:tcPr>
            <w:tcW w:w="4252" w:type="dxa"/>
          </w:tcPr>
          <w:p w:rsidR="00DD686F" w:rsidRPr="004B7CBD" w:rsidRDefault="00DD686F" w:rsidP="009D6348">
            <w:pPr>
              <w:rPr>
                <w:rFonts w:ascii="Calibri" w:hAnsi="Calibri" w:cs="Calibri"/>
                <w:sz w:val="20"/>
                <w:szCs w:val="20"/>
              </w:rPr>
            </w:pPr>
            <w:r>
              <w:rPr>
                <w:rFonts w:ascii="Calibri" w:hAnsi="Calibri" w:cs="Calibri"/>
                <w:b/>
                <w:bCs/>
                <w:sz w:val="20"/>
                <w:szCs w:val="20"/>
              </w:rPr>
              <w:t>International &lt;IR&gt; Framework - DRAFT ,IIRC Council Item 3b Meeting of 5 December 2013</w:t>
            </w:r>
            <w:r>
              <w:rPr>
                <w:rFonts w:ascii="Calibri" w:hAnsi="Calibri" w:cs="Calibri"/>
                <w:sz w:val="20"/>
                <w:szCs w:val="20"/>
              </w:rPr>
              <w:br/>
            </w:r>
            <w:r>
              <w:rPr>
                <w:rFonts w:ascii="Calibri" w:hAnsi="Calibri" w:cs="Calibri"/>
                <w:sz w:val="20"/>
                <w:szCs w:val="20"/>
              </w:rPr>
              <w:br/>
              <w:t>“Integrated Reporting &lt;IR&gt; promotes a more cohesive and efficient approach to corporate reporting and aims to improve the quality of information available to providers of financial capital to enable a more efficient and productive allocation of capital. The IIRC’s vision is a world in which integrated thinking is embedded within mainstream business practice in the public and private sectors, facilitated by &lt;IR&gt; as the corporate reporting norm.”</w:t>
            </w:r>
          </w:p>
        </w:tc>
        <w:tc>
          <w:tcPr>
            <w:tcW w:w="1087" w:type="dxa"/>
          </w:tcPr>
          <w:p w:rsidR="00DD686F" w:rsidRPr="00FC3AE7" w:rsidRDefault="00DD686F" w:rsidP="009D6348">
            <w:pPr>
              <w:jc w:val="center"/>
              <w:rPr>
                <w:sz w:val="20"/>
                <w:szCs w:val="20"/>
              </w:rPr>
            </w:pPr>
            <w:r>
              <w:rPr>
                <w:sz w:val="20"/>
                <w:szCs w:val="20"/>
              </w:rPr>
              <w:t>N</w:t>
            </w:r>
          </w:p>
        </w:tc>
        <w:tc>
          <w:tcPr>
            <w:tcW w:w="3431" w:type="dxa"/>
          </w:tcPr>
          <w:p w:rsidR="00DD686F" w:rsidRPr="00FC3AE7" w:rsidRDefault="00DD686F" w:rsidP="009D6348">
            <w:pPr>
              <w:rPr>
                <w:sz w:val="20"/>
                <w:szCs w:val="20"/>
              </w:rPr>
            </w:pPr>
          </w:p>
        </w:tc>
      </w:tr>
    </w:tbl>
    <w:p w:rsidR="00DD686F" w:rsidRDefault="00DD686F" w:rsidP="00DD686F">
      <w:pPr>
        <w:spacing w:after="0" w:line="240" w:lineRule="auto"/>
      </w:pPr>
    </w:p>
    <w:tbl>
      <w:tblPr>
        <w:tblStyle w:val="TableGrid"/>
        <w:tblW w:w="0" w:type="auto"/>
        <w:tblLook w:val="04A0"/>
      </w:tblPr>
      <w:tblGrid>
        <w:gridCol w:w="1098"/>
        <w:gridCol w:w="4748"/>
        <w:gridCol w:w="4252"/>
        <w:gridCol w:w="1087"/>
        <w:gridCol w:w="3431"/>
      </w:tblGrid>
      <w:tr w:rsidR="00DD686F" w:rsidTr="009D6348">
        <w:tc>
          <w:tcPr>
            <w:tcW w:w="14616" w:type="dxa"/>
            <w:gridSpan w:val="5"/>
            <w:shd w:val="clear" w:color="auto" w:fill="FFCC99"/>
          </w:tcPr>
          <w:p w:rsidR="00DD686F" w:rsidRPr="004B7CBD" w:rsidRDefault="00DD686F" w:rsidP="009D6348">
            <w:pPr>
              <w:rPr>
                <w:b/>
                <w:sz w:val="20"/>
                <w:szCs w:val="20"/>
              </w:rPr>
            </w:pPr>
            <w:r>
              <w:rPr>
                <w:b/>
                <w:sz w:val="20"/>
                <w:szCs w:val="20"/>
              </w:rPr>
              <w:t>D. Disclosure and transparency</w:t>
            </w:r>
          </w:p>
        </w:tc>
      </w:tr>
      <w:tr w:rsidR="00DD686F" w:rsidTr="009D6348">
        <w:tc>
          <w:tcPr>
            <w:tcW w:w="14616" w:type="dxa"/>
            <w:gridSpan w:val="5"/>
            <w:shd w:val="clear" w:color="auto" w:fill="FFCC99"/>
          </w:tcPr>
          <w:p w:rsidR="00DD686F" w:rsidRDefault="00DD686F" w:rsidP="009D6348">
            <w:pPr>
              <w:rPr>
                <w:b/>
                <w:sz w:val="20"/>
                <w:szCs w:val="20"/>
              </w:rPr>
            </w:pPr>
            <w:r>
              <w:rPr>
                <w:b/>
                <w:sz w:val="20"/>
                <w:szCs w:val="20"/>
              </w:rPr>
              <w:t>D.1 Quality of Annual Report</w:t>
            </w:r>
          </w:p>
        </w:tc>
      </w:tr>
      <w:tr w:rsidR="00DD686F" w:rsidTr="009D6348">
        <w:tc>
          <w:tcPr>
            <w:tcW w:w="1098" w:type="dxa"/>
          </w:tcPr>
          <w:p w:rsidR="00DD686F" w:rsidRDefault="00DD686F" w:rsidP="009D6348">
            <w:pPr>
              <w:rPr>
                <w:rFonts w:ascii="Calibri" w:hAnsi="Calibri" w:cs="Calibri"/>
                <w:sz w:val="20"/>
                <w:szCs w:val="20"/>
              </w:rPr>
            </w:pPr>
            <w:r>
              <w:rPr>
                <w:rFonts w:ascii="Calibri" w:hAnsi="Calibri" w:cs="Calibri"/>
                <w:sz w:val="20"/>
                <w:szCs w:val="20"/>
              </w:rPr>
              <w:t>D.1.1 (B)</w:t>
            </w:r>
          </w:p>
        </w:tc>
        <w:tc>
          <w:tcPr>
            <w:tcW w:w="4748" w:type="dxa"/>
          </w:tcPr>
          <w:p w:rsidR="00DD686F" w:rsidRDefault="00DD686F" w:rsidP="009D6348">
            <w:pPr>
              <w:rPr>
                <w:rFonts w:ascii="Calibri" w:hAnsi="Calibri" w:cs="Calibri"/>
                <w:sz w:val="20"/>
                <w:szCs w:val="20"/>
              </w:rPr>
            </w:pPr>
            <w:r>
              <w:rPr>
                <w:rFonts w:ascii="Calibri" w:hAnsi="Calibri" w:cs="Calibri"/>
                <w:sz w:val="20"/>
                <w:szCs w:val="20"/>
              </w:rPr>
              <w:t>Are the audited annual financial report /statement released within 60 days from the financial year end?</w:t>
            </w:r>
          </w:p>
        </w:tc>
        <w:tc>
          <w:tcPr>
            <w:tcW w:w="4252" w:type="dxa"/>
          </w:tcPr>
          <w:p w:rsidR="00DD686F" w:rsidRDefault="00DD686F" w:rsidP="009D6348">
            <w:pPr>
              <w:rPr>
                <w:rFonts w:ascii="Calibri" w:hAnsi="Calibri" w:cs="Calibri"/>
                <w:sz w:val="20"/>
                <w:szCs w:val="20"/>
              </w:rPr>
            </w:pPr>
            <w:r>
              <w:rPr>
                <w:rFonts w:ascii="Calibri" w:hAnsi="Calibri" w:cs="Calibri"/>
                <w:b/>
                <w:bCs/>
                <w:sz w:val="20"/>
                <w:szCs w:val="20"/>
              </w:rPr>
              <w:t xml:space="preserve">OECD Principle V (C)                                                                                  </w:t>
            </w:r>
            <w:r>
              <w:rPr>
                <w:rFonts w:ascii="Calibri" w:hAnsi="Calibri" w:cs="Calibri"/>
                <w:b/>
                <w:bCs/>
                <w:sz w:val="20"/>
                <w:szCs w:val="20"/>
              </w:rPr>
              <w:br/>
              <w:t>OECD Principle V (E)</w:t>
            </w:r>
            <w:r>
              <w:rPr>
                <w:rFonts w:ascii="Calibri" w:hAnsi="Calibri" w:cs="Calibri"/>
                <w:b/>
                <w:bCs/>
                <w:sz w:val="20"/>
                <w:szCs w:val="20"/>
              </w:rPr>
              <w:br/>
              <w:t>ICGN 7.2 Timely disclosure</w:t>
            </w:r>
            <w:r>
              <w:rPr>
                <w:rFonts w:ascii="Calibri" w:hAnsi="Calibri" w:cs="Calibri"/>
                <w:b/>
                <w:bCs/>
                <w:sz w:val="20"/>
                <w:szCs w:val="20"/>
              </w:rPr>
              <w:br/>
              <w:t>ICGN 7.3 Affirmation of financial statements</w:t>
            </w:r>
            <w:r>
              <w:rPr>
                <w:rFonts w:ascii="Calibri" w:hAnsi="Calibri" w:cs="Calibri"/>
                <w:sz w:val="20"/>
                <w:szCs w:val="20"/>
              </w:rPr>
              <w:br/>
              <w:t>The board of directors and the corporate officers of the company should affirm at least annually the accuracy of the company's financial statements or financial accounts.</w:t>
            </w:r>
          </w:p>
          <w:p w:rsidR="00DD686F" w:rsidRDefault="00DD686F" w:rsidP="009D6348">
            <w:pPr>
              <w:rPr>
                <w:b/>
                <w:sz w:val="20"/>
                <w:szCs w:val="20"/>
              </w:rPr>
            </w:pPr>
          </w:p>
        </w:tc>
        <w:tc>
          <w:tcPr>
            <w:tcW w:w="1087" w:type="dxa"/>
          </w:tcPr>
          <w:p w:rsidR="00DD686F" w:rsidRPr="00FC3AE7" w:rsidRDefault="00DD686F" w:rsidP="009D6348">
            <w:pPr>
              <w:jc w:val="center"/>
              <w:rPr>
                <w:sz w:val="20"/>
                <w:szCs w:val="20"/>
              </w:rPr>
            </w:pPr>
            <w:r w:rsidRPr="00FC3AE7">
              <w:rPr>
                <w:sz w:val="20"/>
                <w:szCs w:val="20"/>
              </w:rPr>
              <w:t>Y</w:t>
            </w:r>
          </w:p>
        </w:tc>
        <w:tc>
          <w:tcPr>
            <w:tcW w:w="3431" w:type="dxa"/>
          </w:tcPr>
          <w:p w:rsidR="00DD686F" w:rsidRPr="004416AF" w:rsidRDefault="00DD686F" w:rsidP="009D6348">
            <w:pPr>
              <w:rPr>
                <w:b/>
                <w:sz w:val="20"/>
                <w:szCs w:val="20"/>
              </w:rPr>
            </w:pPr>
            <w:hyperlink r:id="rId5" w:history="1">
              <w:r w:rsidRPr="004416AF">
                <w:rPr>
                  <w:rStyle w:val="Hyperlink"/>
                  <w:b/>
                  <w:sz w:val="20"/>
                  <w:szCs w:val="20"/>
                </w:rPr>
                <w:t>Audited Financial Statement</w:t>
              </w:r>
            </w:hyperlink>
          </w:p>
        </w:tc>
      </w:tr>
      <w:tr w:rsidR="00DD686F" w:rsidTr="009D6348">
        <w:tc>
          <w:tcPr>
            <w:tcW w:w="1098" w:type="dxa"/>
          </w:tcPr>
          <w:p w:rsidR="00DD686F" w:rsidRDefault="00DD686F" w:rsidP="009D6348">
            <w:pPr>
              <w:rPr>
                <w:rFonts w:ascii="Calibri" w:hAnsi="Calibri" w:cs="Calibri"/>
                <w:sz w:val="20"/>
                <w:szCs w:val="20"/>
              </w:rPr>
            </w:pPr>
            <w:r>
              <w:rPr>
                <w:rFonts w:ascii="Calibri" w:hAnsi="Calibri" w:cs="Calibri"/>
                <w:sz w:val="20"/>
                <w:szCs w:val="20"/>
              </w:rPr>
              <w:t>D.1.2 (B)</w:t>
            </w:r>
          </w:p>
        </w:tc>
        <w:tc>
          <w:tcPr>
            <w:tcW w:w="4748" w:type="dxa"/>
          </w:tcPr>
          <w:p w:rsidR="00DD686F" w:rsidRDefault="00DD686F" w:rsidP="009D6348">
            <w:pPr>
              <w:rPr>
                <w:rFonts w:ascii="Calibri" w:hAnsi="Calibri" w:cs="Calibri"/>
                <w:sz w:val="20"/>
                <w:szCs w:val="20"/>
              </w:rPr>
            </w:pPr>
            <w:r>
              <w:rPr>
                <w:rFonts w:ascii="Calibri" w:hAnsi="Calibri" w:cs="Calibri"/>
                <w:sz w:val="20"/>
                <w:szCs w:val="20"/>
              </w:rPr>
              <w:t>Does the company disclose details of remuneration of the CEO?</w:t>
            </w:r>
          </w:p>
        </w:tc>
        <w:tc>
          <w:tcPr>
            <w:tcW w:w="4252" w:type="dxa"/>
          </w:tcPr>
          <w:p w:rsidR="00DD686F" w:rsidRDefault="00DD686F" w:rsidP="009D6348">
            <w:pPr>
              <w:rPr>
                <w:rFonts w:ascii="Calibri" w:hAnsi="Calibri" w:cs="Calibri"/>
                <w:sz w:val="20"/>
                <w:szCs w:val="20"/>
              </w:rPr>
            </w:pPr>
            <w:r>
              <w:rPr>
                <w:rFonts w:ascii="Calibri" w:hAnsi="Calibri" w:cs="Calibri"/>
                <w:sz w:val="20"/>
                <w:szCs w:val="20"/>
              </w:rPr>
              <w:t> </w:t>
            </w:r>
          </w:p>
          <w:p w:rsidR="00DD686F" w:rsidRDefault="00DD686F" w:rsidP="009D6348">
            <w:pPr>
              <w:rPr>
                <w:b/>
                <w:sz w:val="20"/>
                <w:szCs w:val="20"/>
              </w:rPr>
            </w:pPr>
          </w:p>
        </w:tc>
        <w:tc>
          <w:tcPr>
            <w:tcW w:w="1087" w:type="dxa"/>
          </w:tcPr>
          <w:p w:rsidR="00DD686F" w:rsidRPr="00B93625" w:rsidRDefault="00DD686F" w:rsidP="009D6348">
            <w:pPr>
              <w:jc w:val="center"/>
              <w:rPr>
                <w:sz w:val="20"/>
                <w:szCs w:val="20"/>
              </w:rPr>
            </w:pPr>
            <w:r>
              <w:rPr>
                <w:sz w:val="20"/>
                <w:szCs w:val="20"/>
              </w:rPr>
              <w:t>N</w:t>
            </w:r>
          </w:p>
        </w:tc>
        <w:tc>
          <w:tcPr>
            <w:tcW w:w="3431" w:type="dxa"/>
          </w:tcPr>
          <w:p w:rsidR="00DD686F" w:rsidRDefault="00DD686F" w:rsidP="009D6348">
            <w:pPr>
              <w:rPr>
                <w:b/>
                <w:sz w:val="20"/>
                <w:szCs w:val="20"/>
              </w:rPr>
            </w:pPr>
          </w:p>
        </w:tc>
      </w:tr>
    </w:tbl>
    <w:p w:rsidR="00DD686F" w:rsidRDefault="00DD686F" w:rsidP="00DD686F">
      <w:pPr>
        <w:spacing w:after="0" w:line="240" w:lineRule="auto"/>
      </w:pPr>
    </w:p>
    <w:tbl>
      <w:tblPr>
        <w:tblStyle w:val="TableGrid"/>
        <w:tblW w:w="0" w:type="auto"/>
        <w:tblLook w:val="04A0"/>
      </w:tblPr>
      <w:tblGrid>
        <w:gridCol w:w="1391"/>
        <w:gridCol w:w="4668"/>
        <w:gridCol w:w="4165"/>
        <w:gridCol w:w="1060"/>
        <w:gridCol w:w="3332"/>
      </w:tblGrid>
      <w:tr w:rsidR="00DD686F" w:rsidTr="009D6348">
        <w:tc>
          <w:tcPr>
            <w:tcW w:w="14616" w:type="dxa"/>
            <w:gridSpan w:val="5"/>
            <w:shd w:val="clear" w:color="auto" w:fill="FFCC99"/>
          </w:tcPr>
          <w:p w:rsidR="00DD686F" w:rsidRPr="004B7CBD" w:rsidRDefault="00DD686F" w:rsidP="009D6348">
            <w:pPr>
              <w:rPr>
                <w:rFonts w:ascii="Calibri" w:hAnsi="Calibri" w:cs="Calibri"/>
                <w:b/>
                <w:bCs/>
                <w:sz w:val="20"/>
                <w:szCs w:val="20"/>
              </w:rPr>
            </w:pPr>
            <w:r>
              <w:rPr>
                <w:rFonts w:ascii="Calibri" w:hAnsi="Calibri" w:cs="Calibri"/>
                <w:b/>
                <w:bCs/>
                <w:sz w:val="20"/>
                <w:szCs w:val="20"/>
              </w:rPr>
              <w:t>E. Responsibilities of the Board</w:t>
            </w:r>
          </w:p>
        </w:tc>
      </w:tr>
      <w:tr w:rsidR="00DD686F" w:rsidTr="009D6348">
        <w:tc>
          <w:tcPr>
            <w:tcW w:w="14616" w:type="dxa"/>
            <w:gridSpan w:val="5"/>
            <w:shd w:val="clear" w:color="auto" w:fill="FFCC99"/>
          </w:tcPr>
          <w:p w:rsidR="00DD686F" w:rsidRDefault="00DD686F" w:rsidP="009D6348">
            <w:pPr>
              <w:rPr>
                <w:rFonts w:ascii="Calibri" w:hAnsi="Calibri" w:cs="Calibri"/>
                <w:b/>
                <w:bCs/>
                <w:sz w:val="20"/>
                <w:szCs w:val="20"/>
              </w:rPr>
            </w:pPr>
            <w:r>
              <w:rPr>
                <w:rFonts w:ascii="Calibri" w:hAnsi="Calibri" w:cs="Calibri"/>
                <w:b/>
                <w:bCs/>
                <w:sz w:val="20"/>
                <w:szCs w:val="20"/>
              </w:rPr>
              <w:t>E.1 Board Competencies and Diversity</w:t>
            </w:r>
          </w:p>
        </w:tc>
      </w:tr>
      <w:tr w:rsidR="00DD686F" w:rsidTr="009D6348">
        <w:trPr>
          <w:trHeight w:val="1709"/>
        </w:trPr>
        <w:tc>
          <w:tcPr>
            <w:tcW w:w="1391" w:type="dxa"/>
          </w:tcPr>
          <w:p w:rsidR="00DD686F" w:rsidRDefault="00DD686F" w:rsidP="009D6348">
            <w:pPr>
              <w:rPr>
                <w:rFonts w:ascii="Calibri" w:hAnsi="Calibri" w:cs="Calibri"/>
                <w:sz w:val="20"/>
                <w:szCs w:val="20"/>
              </w:rPr>
            </w:pPr>
            <w:r>
              <w:rPr>
                <w:rFonts w:ascii="Calibri" w:hAnsi="Calibri" w:cs="Calibri"/>
                <w:sz w:val="20"/>
                <w:szCs w:val="20"/>
              </w:rPr>
              <w:t>E.1.1(B)</w:t>
            </w:r>
          </w:p>
        </w:tc>
        <w:tc>
          <w:tcPr>
            <w:tcW w:w="4668" w:type="dxa"/>
          </w:tcPr>
          <w:p w:rsidR="00DD686F" w:rsidRDefault="00DD686F" w:rsidP="009D6348">
            <w:pPr>
              <w:rPr>
                <w:rFonts w:ascii="Calibri" w:hAnsi="Calibri" w:cs="Calibri"/>
                <w:sz w:val="20"/>
                <w:szCs w:val="20"/>
              </w:rPr>
            </w:pPr>
            <w:r>
              <w:rPr>
                <w:rFonts w:ascii="Calibri" w:hAnsi="Calibri" w:cs="Calibri"/>
                <w:sz w:val="20"/>
                <w:szCs w:val="20"/>
              </w:rPr>
              <w:t>Does the company have at least one female independent director/commissioner?</w:t>
            </w:r>
          </w:p>
        </w:tc>
        <w:tc>
          <w:tcPr>
            <w:tcW w:w="4165" w:type="dxa"/>
          </w:tcPr>
          <w:p w:rsidR="00DD686F" w:rsidRDefault="00DD686F" w:rsidP="009D6348">
            <w:pPr>
              <w:jc w:val="both"/>
              <w:rPr>
                <w:rFonts w:ascii="Calibri" w:hAnsi="Calibri" w:cs="Calibri"/>
                <w:sz w:val="20"/>
                <w:szCs w:val="20"/>
              </w:rPr>
            </w:pPr>
            <w:r>
              <w:rPr>
                <w:rFonts w:ascii="Calibri" w:hAnsi="Calibri" w:cs="Calibri"/>
                <w:b/>
                <w:bCs/>
                <w:sz w:val="20"/>
                <w:szCs w:val="20"/>
              </w:rPr>
              <w:t>ICGN 2.4.1 Skills and experience</w:t>
            </w:r>
            <w:r>
              <w:rPr>
                <w:rFonts w:ascii="Calibri" w:hAnsi="Calibri" w:cs="Calibri"/>
                <w:sz w:val="20"/>
                <w:szCs w:val="20"/>
              </w:rPr>
              <w:t xml:space="preserve"> </w:t>
            </w:r>
            <w:r>
              <w:rPr>
                <w:rFonts w:ascii="Calibri" w:hAnsi="Calibri" w:cs="Calibri"/>
                <w:sz w:val="20"/>
                <w:szCs w:val="20"/>
              </w:rPr>
              <w:br/>
              <w:t xml:space="preserve">The board should consist of directors with the requisite range of skills, competence, knowledge, experience and approach, as well as a diversity of perspectives, to set the context for appropriate board </w:t>
            </w:r>
            <w:proofErr w:type="spellStart"/>
            <w:r>
              <w:rPr>
                <w:rFonts w:ascii="Calibri" w:hAnsi="Calibri" w:cs="Calibri"/>
                <w:sz w:val="20"/>
                <w:szCs w:val="20"/>
              </w:rPr>
              <w:t>behaviours</w:t>
            </w:r>
            <w:proofErr w:type="spellEnd"/>
            <w:r>
              <w:rPr>
                <w:rFonts w:ascii="Calibri" w:hAnsi="Calibri" w:cs="Calibri"/>
                <w:sz w:val="20"/>
                <w:szCs w:val="20"/>
              </w:rPr>
              <w:t xml:space="preserve"> and to enable it to discharge its duties and responsibilities effectively.</w:t>
            </w:r>
          </w:p>
        </w:tc>
        <w:tc>
          <w:tcPr>
            <w:tcW w:w="1060" w:type="dxa"/>
          </w:tcPr>
          <w:p w:rsidR="00DD686F" w:rsidRPr="00C35AAA" w:rsidRDefault="00DD686F" w:rsidP="009D6348">
            <w:pPr>
              <w:jc w:val="center"/>
              <w:rPr>
                <w:sz w:val="20"/>
                <w:szCs w:val="20"/>
              </w:rPr>
            </w:pPr>
            <w:r>
              <w:rPr>
                <w:sz w:val="20"/>
                <w:szCs w:val="20"/>
              </w:rPr>
              <w:t>N</w:t>
            </w:r>
          </w:p>
        </w:tc>
        <w:tc>
          <w:tcPr>
            <w:tcW w:w="3332" w:type="dxa"/>
          </w:tcPr>
          <w:p w:rsidR="00DD686F" w:rsidRDefault="00DD686F" w:rsidP="009D6348">
            <w:pPr>
              <w:rPr>
                <w:b/>
                <w:sz w:val="20"/>
                <w:szCs w:val="20"/>
              </w:rPr>
            </w:pPr>
          </w:p>
        </w:tc>
      </w:tr>
    </w:tbl>
    <w:p w:rsidR="00DD686F" w:rsidRDefault="00DD686F" w:rsidP="00DD686F"/>
    <w:tbl>
      <w:tblPr>
        <w:tblStyle w:val="TableGrid"/>
        <w:tblW w:w="0" w:type="auto"/>
        <w:tblLook w:val="04A0"/>
      </w:tblPr>
      <w:tblGrid>
        <w:gridCol w:w="1391"/>
        <w:gridCol w:w="4668"/>
        <w:gridCol w:w="4165"/>
        <w:gridCol w:w="1060"/>
        <w:gridCol w:w="3332"/>
      </w:tblGrid>
      <w:tr w:rsidR="00DD686F" w:rsidTr="009D6348">
        <w:trPr>
          <w:trHeight w:val="260"/>
        </w:trPr>
        <w:tc>
          <w:tcPr>
            <w:tcW w:w="14616" w:type="dxa"/>
            <w:gridSpan w:val="5"/>
            <w:tcBorders>
              <w:bottom w:val="single" w:sz="4" w:space="0" w:color="auto"/>
            </w:tcBorders>
            <w:shd w:val="clear" w:color="auto" w:fill="FFCC99"/>
          </w:tcPr>
          <w:p w:rsidR="00DD686F" w:rsidRPr="004B7CBD" w:rsidRDefault="00DD686F" w:rsidP="009D6348">
            <w:pPr>
              <w:rPr>
                <w:rFonts w:ascii="Calibri" w:hAnsi="Calibri" w:cs="Calibri"/>
                <w:b/>
                <w:bCs/>
                <w:sz w:val="20"/>
                <w:szCs w:val="20"/>
              </w:rPr>
            </w:pPr>
            <w:r>
              <w:rPr>
                <w:rFonts w:ascii="Calibri" w:hAnsi="Calibri" w:cs="Calibri"/>
                <w:b/>
                <w:bCs/>
                <w:sz w:val="20"/>
                <w:szCs w:val="20"/>
              </w:rPr>
              <w:lastRenderedPageBreak/>
              <w:t>E.2 Nominating Committee</w:t>
            </w:r>
          </w:p>
        </w:tc>
      </w:tr>
      <w:tr w:rsidR="00DD686F" w:rsidTr="009D6348">
        <w:trPr>
          <w:trHeight w:val="885"/>
        </w:trPr>
        <w:tc>
          <w:tcPr>
            <w:tcW w:w="1391" w:type="dxa"/>
            <w:tcBorders>
              <w:top w:val="single" w:sz="4" w:space="0" w:color="auto"/>
            </w:tcBorders>
          </w:tcPr>
          <w:p w:rsidR="00DD686F" w:rsidRDefault="00DD686F" w:rsidP="009D6348">
            <w:pPr>
              <w:rPr>
                <w:rFonts w:ascii="Calibri" w:hAnsi="Calibri" w:cs="Calibri"/>
                <w:sz w:val="20"/>
                <w:szCs w:val="20"/>
              </w:rPr>
            </w:pPr>
            <w:r>
              <w:rPr>
                <w:rFonts w:ascii="Calibri" w:hAnsi="Calibri" w:cs="Calibri"/>
                <w:sz w:val="20"/>
                <w:szCs w:val="20"/>
              </w:rPr>
              <w:t xml:space="preserve">E.2.1(B)  </w:t>
            </w:r>
          </w:p>
          <w:p w:rsidR="00DD686F" w:rsidRDefault="00DD686F" w:rsidP="009D6348">
            <w:pPr>
              <w:rPr>
                <w:rFonts w:ascii="Calibri" w:hAnsi="Calibri" w:cs="Calibri"/>
                <w:b/>
                <w:bCs/>
                <w:sz w:val="20"/>
                <w:szCs w:val="20"/>
              </w:rPr>
            </w:pPr>
          </w:p>
        </w:tc>
        <w:tc>
          <w:tcPr>
            <w:tcW w:w="4668" w:type="dxa"/>
            <w:tcBorders>
              <w:top w:val="single" w:sz="4" w:space="0" w:color="auto"/>
            </w:tcBorders>
          </w:tcPr>
          <w:p w:rsidR="00DD686F" w:rsidRDefault="00DD686F" w:rsidP="009D6348">
            <w:pPr>
              <w:rPr>
                <w:rFonts w:ascii="Calibri" w:hAnsi="Calibri" w:cs="Calibri"/>
                <w:sz w:val="20"/>
                <w:szCs w:val="20"/>
              </w:rPr>
            </w:pPr>
            <w:r>
              <w:rPr>
                <w:rFonts w:ascii="Calibri" w:hAnsi="Calibri" w:cs="Calibri"/>
                <w:sz w:val="20"/>
                <w:szCs w:val="20"/>
              </w:rPr>
              <w:t xml:space="preserve">Does the Nominating Committee comprise entirely of independent directors/commissioners? </w:t>
            </w:r>
          </w:p>
        </w:tc>
        <w:tc>
          <w:tcPr>
            <w:tcW w:w="4165" w:type="dxa"/>
            <w:tcBorders>
              <w:top w:val="single" w:sz="4" w:space="0" w:color="auto"/>
            </w:tcBorders>
          </w:tcPr>
          <w:p w:rsidR="00DD686F" w:rsidRDefault="00DD686F" w:rsidP="009D6348">
            <w:pPr>
              <w:jc w:val="both"/>
              <w:rPr>
                <w:rFonts w:ascii="Calibri" w:hAnsi="Calibri" w:cs="Calibri"/>
                <w:b/>
                <w:bCs/>
                <w:sz w:val="20"/>
                <w:szCs w:val="20"/>
              </w:rPr>
            </w:pPr>
            <w:r>
              <w:rPr>
                <w:rFonts w:ascii="Calibri" w:hAnsi="Calibri" w:cs="Calibri"/>
                <w:b/>
                <w:bCs/>
                <w:sz w:val="20"/>
                <w:szCs w:val="20"/>
              </w:rPr>
              <w:t>ICGN 2.4.4 Composition of board committees</w:t>
            </w:r>
            <w:r>
              <w:rPr>
                <w:rFonts w:ascii="Calibri" w:hAnsi="Calibri" w:cs="Calibri"/>
                <w:b/>
                <w:bCs/>
                <w:sz w:val="20"/>
                <w:szCs w:val="20"/>
              </w:rPr>
              <w:br/>
            </w:r>
            <w:r>
              <w:rPr>
                <w:rFonts w:ascii="Calibri" w:hAnsi="Calibri" w:cs="Calibri"/>
                <w:sz w:val="20"/>
                <w:szCs w:val="20"/>
              </w:rPr>
              <w:t>The members of these key board committees should be solely non-executive directors, and in the case of the audit and remuneration committees, solely independent directors. All members of the nominations committee should be independent from management and at least a majority should be independent from dominant owners.</w:t>
            </w:r>
          </w:p>
        </w:tc>
        <w:tc>
          <w:tcPr>
            <w:tcW w:w="1060" w:type="dxa"/>
            <w:tcBorders>
              <w:top w:val="single" w:sz="4" w:space="0" w:color="auto"/>
            </w:tcBorders>
          </w:tcPr>
          <w:p w:rsidR="00DD686F" w:rsidRPr="00C35AAA" w:rsidRDefault="00DD686F" w:rsidP="009D6348">
            <w:pPr>
              <w:jc w:val="center"/>
              <w:rPr>
                <w:sz w:val="20"/>
                <w:szCs w:val="20"/>
              </w:rPr>
            </w:pPr>
            <w:r>
              <w:rPr>
                <w:sz w:val="20"/>
                <w:szCs w:val="20"/>
              </w:rPr>
              <w:t>N</w:t>
            </w:r>
          </w:p>
        </w:tc>
        <w:tc>
          <w:tcPr>
            <w:tcW w:w="3332" w:type="dxa"/>
            <w:tcBorders>
              <w:top w:val="single" w:sz="4" w:space="0" w:color="auto"/>
            </w:tcBorders>
          </w:tcPr>
          <w:p w:rsidR="00DD686F" w:rsidRDefault="00DD686F" w:rsidP="009D6348">
            <w:pPr>
              <w:rPr>
                <w:b/>
                <w:sz w:val="20"/>
                <w:szCs w:val="20"/>
              </w:rPr>
            </w:pPr>
          </w:p>
        </w:tc>
      </w:tr>
      <w:tr w:rsidR="00DD686F" w:rsidTr="009D6348">
        <w:trPr>
          <w:trHeight w:val="885"/>
        </w:trPr>
        <w:tc>
          <w:tcPr>
            <w:tcW w:w="1391" w:type="dxa"/>
            <w:tcBorders>
              <w:top w:val="single" w:sz="4" w:space="0" w:color="auto"/>
            </w:tcBorders>
          </w:tcPr>
          <w:p w:rsidR="00DD686F" w:rsidRDefault="00DD686F" w:rsidP="009D6348">
            <w:pPr>
              <w:rPr>
                <w:rFonts w:ascii="Calibri" w:hAnsi="Calibri" w:cs="Calibri"/>
                <w:sz w:val="20"/>
                <w:szCs w:val="20"/>
              </w:rPr>
            </w:pPr>
            <w:r>
              <w:rPr>
                <w:rFonts w:ascii="Calibri" w:hAnsi="Calibri" w:cs="Calibri"/>
                <w:sz w:val="20"/>
                <w:szCs w:val="20"/>
              </w:rPr>
              <w:t>E.2.2(B)</w:t>
            </w:r>
          </w:p>
        </w:tc>
        <w:tc>
          <w:tcPr>
            <w:tcW w:w="4668" w:type="dxa"/>
            <w:tcBorders>
              <w:top w:val="single" w:sz="4" w:space="0" w:color="auto"/>
            </w:tcBorders>
          </w:tcPr>
          <w:p w:rsidR="00DD686F" w:rsidRDefault="00DD686F" w:rsidP="009D6348">
            <w:pPr>
              <w:jc w:val="both"/>
              <w:rPr>
                <w:rFonts w:ascii="Calibri" w:hAnsi="Calibri" w:cs="Calibri"/>
                <w:sz w:val="20"/>
                <w:szCs w:val="20"/>
              </w:rPr>
            </w:pPr>
            <w:r>
              <w:rPr>
                <w:rFonts w:ascii="Calibri" w:hAnsi="Calibri" w:cs="Calibri"/>
                <w:sz w:val="20"/>
                <w:szCs w:val="20"/>
              </w:rPr>
              <w:t xml:space="preserve">Does the Nominating Committee undertake the process of identifying the quality of directors aligned with the company's strategic directions? </w:t>
            </w:r>
          </w:p>
        </w:tc>
        <w:tc>
          <w:tcPr>
            <w:tcW w:w="4165" w:type="dxa"/>
            <w:tcBorders>
              <w:top w:val="single" w:sz="4" w:space="0" w:color="auto"/>
            </w:tcBorders>
          </w:tcPr>
          <w:p w:rsidR="00DD686F" w:rsidRDefault="00DD686F" w:rsidP="009D6348">
            <w:pPr>
              <w:jc w:val="both"/>
              <w:rPr>
                <w:rFonts w:ascii="Calibri" w:hAnsi="Calibri" w:cs="Calibri"/>
                <w:b/>
                <w:bCs/>
                <w:sz w:val="20"/>
                <w:szCs w:val="20"/>
              </w:rPr>
            </w:pPr>
            <w:r>
              <w:rPr>
                <w:rFonts w:ascii="Calibri" w:hAnsi="Calibri" w:cs="Calibri"/>
                <w:b/>
                <w:bCs/>
                <w:sz w:val="20"/>
                <w:szCs w:val="20"/>
              </w:rPr>
              <w:t> </w:t>
            </w:r>
          </w:p>
        </w:tc>
        <w:tc>
          <w:tcPr>
            <w:tcW w:w="1060" w:type="dxa"/>
            <w:tcBorders>
              <w:top w:val="single" w:sz="4" w:space="0" w:color="auto"/>
            </w:tcBorders>
          </w:tcPr>
          <w:p w:rsidR="00DD686F" w:rsidRPr="00BA7ED2" w:rsidRDefault="00DD686F" w:rsidP="009D6348">
            <w:pPr>
              <w:jc w:val="center"/>
              <w:rPr>
                <w:sz w:val="20"/>
                <w:szCs w:val="20"/>
              </w:rPr>
            </w:pPr>
            <w:r>
              <w:rPr>
                <w:sz w:val="20"/>
                <w:szCs w:val="20"/>
              </w:rPr>
              <w:t>Y</w:t>
            </w:r>
          </w:p>
        </w:tc>
        <w:tc>
          <w:tcPr>
            <w:tcW w:w="3332" w:type="dxa"/>
            <w:tcBorders>
              <w:top w:val="single" w:sz="4" w:space="0" w:color="auto"/>
            </w:tcBorders>
          </w:tcPr>
          <w:p w:rsidR="00DD686F" w:rsidRPr="004416AF" w:rsidRDefault="00DD686F" w:rsidP="009D6348">
            <w:pPr>
              <w:rPr>
                <w:b/>
                <w:sz w:val="20"/>
                <w:szCs w:val="20"/>
              </w:rPr>
            </w:pPr>
            <w:hyperlink r:id="rId6" w:history="1">
              <w:r w:rsidRPr="004416AF">
                <w:rPr>
                  <w:rStyle w:val="Hyperlink"/>
                  <w:b/>
                  <w:sz w:val="20"/>
                  <w:szCs w:val="20"/>
                </w:rPr>
                <w:t>Manual of Corporate Governance, pg11</w:t>
              </w:r>
            </w:hyperlink>
          </w:p>
        </w:tc>
      </w:tr>
      <w:tr w:rsidR="00DD686F" w:rsidTr="009D6348">
        <w:tc>
          <w:tcPr>
            <w:tcW w:w="14616" w:type="dxa"/>
            <w:gridSpan w:val="5"/>
            <w:shd w:val="clear" w:color="auto" w:fill="FFCC99"/>
          </w:tcPr>
          <w:p w:rsidR="00DD686F" w:rsidRPr="00E1365A" w:rsidRDefault="00DD686F" w:rsidP="009D6348">
            <w:pPr>
              <w:rPr>
                <w:rFonts w:ascii="Calibri" w:hAnsi="Calibri" w:cs="Calibri"/>
                <w:b/>
                <w:bCs/>
                <w:sz w:val="20"/>
                <w:szCs w:val="20"/>
              </w:rPr>
            </w:pPr>
            <w:r w:rsidRPr="00E1365A">
              <w:rPr>
                <w:b/>
                <w:sz w:val="20"/>
              </w:rPr>
              <w:t xml:space="preserve">E.3 </w:t>
            </w:r>
            <w:r>
              <w:rPr>
                <w:rFonts w:ascii="Calibri" w:hAnsi="Calibri" w:cs="Calibri"/>
                <w:b/>
                <w:bCs/>
                <w:sz w:val="20"/>
                <w:szCs w:val="20"/>
              </w:rPr>
              <w:t>Board Appointments and Re-Election</w:t>
            </w:r>
          </w:p>
        </w:tc>
      </w:tr>
      <w:tr w:rsidR="00DD686F" w:rsidTr="009D6348">
        <w:tc>
          <w:tcPr>
            <w:tcW w:w="1391" w:type="dxa"/>
          </w:tcPr>
          <w:p w:rsidR="00DD686F" w:rsidRDefault="00DD686F" w:rsidP="009D6348">
            <w:pPr>
              <w:rPr>
                <w:rFonts w:ascii="Calibri" w:hAnsi="Calibri" w:cs="Calibri"/>
                <w:sz w:val="20"/>
                <w:szCs w:val="20"/>
              </w:rPr>
            </w:pPr>
            <w:r>
              <w:rPr>
                <w:rFonts w:ascii="Calibri" w:hAnsi="Calibri" w:cs="Calibri"/>
                <w:sz w:val="20"/>
                <w:szCs w:val="20"/>
              </w:rPr>
              <w:t>E.3.1(B)</w:t>
            </w:r>
          </w:p>
        </w:tc>
        <w:tc>
          <w:tcPr>
            <w:tcW w:w="4668" w:type="dxa"/>
          </w:tcPr>
          <w:p w:rsidR="00DD686F" w:rsidRDefault="00DD686F" w:rsidP="009D6348">
            <w:pPr>
              <w:jc w:val="both"/>
              <w:rPr>
                <w:rFonts w:ascii="Calibri" w:hAnsi="Calibri" w:cs="Calibri"/>
                <w:sz w:val="20"/>
                <w:szCs w:val="20"/>
              </w:rPr>
            </w:pPr>
            <w:r>
              <w:rPr>
                <w:rFonts w:ascii="Calibri" w:hAnsi="Calibri" w:cs="Calibri"/>
                <w:sz w:val="20"/>
                <w:szCs w:val="20"/>
              </w:rPr>
              <w:t>Does the company use professional search firms or other external sources of candidates (such as director databases set up by director or shareholder bodies) when searching for candidates to the board of directors/commissioners?</w:t>
            </w:r>
          </w:p>
        </w:tc>
        <w:tc>
          <w:tcPr>
            <w:tcW w:w="4165" w:type="dxa"/>
          </w:tcPr>
          <w:p w:rsidR="00DD686F" w:rsidRDefault="00DD686F" w:rsidP="009D6348">
            <w:pPr>
              <w:jc w:val="both"/>
              <w:rPr>
                <w:rFonts w:ascii="Calibri" w:hAnsi="Calibri" w:cs="Calibri"/>
                <w:sz w:val="20"/>
                <w:szCs w:val="20"/>
              </w:rPr>
            </w:pPr>
            <w:r>
              <w:rPr>
                <w:rFonts w:ascii="Calibri" w:hAnsi="Calibri" w:cs="Calibri"/>
                <w:b/>
                <w:bCs/>
                <w:sz w:val="20"/>
                <w:szCs w:val="20"/>
              </w:rPr>
              <w:t xml:space="preserve">WORLDBANK PRINCIPLE 6 </w:t>
            </w:r>
            <w:r>
              <w:rPr>
                <w:rFonts w:ascii="Calibri" w:hAnsi="Calibri" w:cs="Calibri"/>
                <w:b/>
                <w:bCs/>
                <w:sz w:val="20"/>
                <w:szCs w:val="20"/>
              </w:rPr>
              <w:br/>
            </w:r>
            <w:r>
              <w:rPr>
                <w:rFonts w:ascii="Calibri" w:hAnsi="Calibri" w:cs="Calibri"/>
                <w:sz w:val="20"/>
                <w:szCs w:val="20"/>
              </w:rPr>
              <w:t>(VI.I.21) Are boards known to hire professional search firms when proposing candidates to the board?</w:t>
            </w:r>
          </w:p>
        </w:tc>
        <w:tc>
          <w:tcPr>
            <w:tcW w:w="1060" w:type="dxa"/>
          </w:tcPr>
          <w:p w:rsidR="00DD686F" w:rsidRPr="00BA7ED2" w:rsidRDefault="00DD686F" w:rsidP="009D6348">
            <w:pPr>
              <w:jc w:val="center"/>
              <w:rPr>
                <w:sz w:val="20"/>
                <w:szCs w:val="20"/>
              </w:rPr>
            </w:pPr>
            <w:r>
              <w:rPr>
                <w:sz w:val="20"/>
                <w:szCs w:val="20"/>
              </w:rPr>
              <w:t>N</w:t>
            </w:r>
          </w:p>
        </w:tc>
        <w:tc>
          <w:tcPr>
            <w:tcW w:w="3332" w:type="dxa"/>
          </w:tcPr>
          <w:p w:rsidR="00DD686F" w:rsidRDefault="00DD686F" w:rsidP="009D6348">
            <w:pPr>
              <w:rPr>
                <w:b/>
                <w:sz w:val="20"/>
                <w:szCs w:val="20"/>
              </w:rPr>
            </w:pPr>
          </w:p>
        </w:tc>
      </w:tr>
      <w:tr w:rsidR="00DD686F" w:rsidTr="009D6348">
        <w:tc>
          <w:tcPr>
            <w:tcW w:w="14616" w:type="dxa"/>
            <w:gridSpan w:val="5"/>
            <w:shd w:val="clear" w:color="auto" w:fill="FFCC99"/>
          </w:tcPr>
          <w:p w:rsidR="00DD686F" w:rsidRDefault="00DD686F" w:rsidP="009D6348">
            <w:pPr>
              <w:rPr>
                <w:b/>
                <w:sz w:val="20"/>
                <w:szCs w:val="20"/>
              </w:rPr>
            </w:pPr>
            <w:r>
              <w:br w:type="page"/>
            </w:r>
            <w:r>
              <w:rPr>
                <w:b/>
                <w:sz w:val="20"/>
                <w:szCs w:val="20"/>
              </w:rPr>
              <w:t xml:space="preserve">E.4 </w:t>
            </w:r>
            <w:r>
              <w:rPr>
                <w:rFonts w:ascii="Calibri" w:hAnsi="Calibri" w:cs="Calibri"/>
                <w:b/>
                <w:bCs/>
                <w:sz w:val="20"/>
                <w:szCs w:val="20"/>
              </w:rPr>
              <w:t>Board Structure &amp; Composition</w:t>
            </w:r>
          </w:p>
        </w:tc>
      </w:tr>
      <w:tr w:rsidR="00DD686F" w:rsidTr="009D6348">
        <w:tc>
          <w:tcPr>
            <w:tcW w:w="1391" w:type="dxa"/>
          </w:tcPr>
          <w:p w:rsidR="00DD686F" w:rsidRDefault="00DD686F" w:rsidP="009D6348">
            <w:pPr>
              <w:rPr>
                <w:rFonts w:ascii="Calibri" w:hAnsi="Calibri" w:cs="Calibri"/>
                <w:sz w:val="20"/>
                <w:szCs w:val="20"/>
              </w:rPr>
            </w:pPr>
            <w:r>
              <w:rPr>
                <w:rFonts w:ascii="Calibri" w:hAnsi="Calibri" w:cs="Calibri"/>
                <w:sz w:val="20"/>
                <w:szCs w:val="20"/>
              </w:rPr>
              <w:t xml:space="preserve">E.4.1(B) </w:t>
            </w:r>
          </w:p>
        </w:tc>
        <w:tc>
          <w:tcPr>
            <w:tcW w:w="4668" w:type="dxa"/>
            <w:tcBorders>
              <w:bottom w:val="single" w:sz="4" w:space="0" w:color="auto"/>
            </w:tcBorders>
          </w:tcPr>
          <w:p w:rsidR="00DD686F" w:rsidRDefault="00DD686F" w:rsidP="009D6348">
            <w:pPr>
              <w:rPr>
                <w:rFonts w:ascii="Calibri" w:hAnsi="Calibri" w:cs="Calibri"/>
                <w:sz w:val="20"/>
                <w:szCs w:val="20"/>
              </w:rPr>
            </w:pPr>
            <w:r>
              <w:rPr>
                <w:rFonts w:ascii="Calibri" w:hAnsi="Calibri" w:cs="Calibri"/>
                <w:sz w:val="20"/>
                <w:szCs w:val="20"/>
              </w:rPr>
              <w:t>Do independent non-executive directors/commissioners make up more than 50% of the board of directors/commissioners?</w:t>
            </w:r>
          </w:p>
        </w:tc>
        <w:tc>
          <w:tcPr>
            <w:tcW w:w="4165" w:type="dxa"/>
            <w:tcBorders>
              <w:bottom w:val="single" w:sz="4" w:space="0" w:color="auto"/>
            </w:tcBorders>
          </w:tcPr>
          <w:p w:rsidR="00DD686F" w:rsidRPr="00514914" w:rsidRDefault="00DD686F" w:rsidP="009D6348">
            <w:pPr>
              <w:rPr>
                <w:b/>
                <w:bCs/>
                <w:sz w:val="18"/>
                <w:szCs w:val="20"/>
              </w:rPr>
            </w:pPr>
            <w:r w:rsidRPr="00514914">
              <w:rPr>
                <w:b/>
                <w:bCs/>
                <w:sz w:val="18"/>
                <w:szCs w:val="20"/>
              </w:rPr>
              <w:t> </w:t>
            </w:r>
          </w:p>
          <w:p w:rsidR="00DD686F" w:rsidRPr="005550BB" w:rsidRDefault="00DD686F" w:rsidP="009D6348">
            <w:pPr>
              <w:rPr>
                <w:b/>
                <w:bCs/>
                <w:sz w:val="18"/>
                <w:szCs w:val="20"/>
              </w:rPr>
            </w:pPr>
          </w:p>
        </w:tc>
        <w:tc>
          <w:tcPr>
            <w:tcW w:w="1060" w:type="dxa"/>
            <w:tcBorders>
              <w:bottom w:val="single" w:sz="4" w:space="0" w:color="auto"/>
            </w:tcBorders>
          </w:tcPr>
          <w:p w:rsidR="00DD686F" w:rsidRPr="00BA7ED2" w:rsidRDefault="00DD686F" w:rsidP="009D6348">
            <w:pPr>
              <w:jc w:val="center"/>
              <w:rPr>
                <w:sz w:val="20"/>
                <w:szCs w:val="20"/>
              </w:rPr>
            </w:pPr>
            <w:r>
              <w:rPr>
                <w:sz w:val="20"/>
                <w:szCs w:val="20"/>
              </w:rPr>
              <w:t>N</w:t>
            </w:r>
          </w:p>
        </w:tc>
        <w:tc>
          <w:tcPr>
            <w:tcW w:w="3332" w:type="dxa"/>
            <w:tcBorders>
              <w:bottom w:val="single" w:sz="4" w:space="0" w:color="auto"/>
            </w:tcBorders>
          </w:tcPr>
          <w:p w:rsidR="00DD686F" w:rsidRDefault="00DD686F" w:rsidP="009D6348">
            <w:pPr>
              <w:rPr>
                <w:b/>
                <w:sz w:val="20"/>
                <w:szCs w:val="20"/>
              </w:rPr>
            </w:pPr>
          </w:p>
        </w:tc>
      </w:tr>
      <w:tr w:rsidR="00DD686F" w:rsidTr="009D6348">
        <w:tc>
          <w:tcPr>
            <w:tcW w:w="6059" w:type="dxa"/>
            <w:gridSpan w:val="2"/>
            <w:tcBorders>
              <w:right w:val="nil"/>
            </w:tcBorders>
            <w:shd w:val="clear" w:color="auto" w:fill="FFCC99"/>
          </w:tcPr>
          <w:p w:rsidR="00DD686F" w:rsidRPr="003D5A78" w:rsidRDefault="00DD686F" w:rsidP="009D6348">
            <w:pPr>
              <w:rPr>
                <w:rFonts w:ascii="Calibri" w:hAnsi="Calibri" w:cs="Calibri"/>
                <w:b/>
                <w:bCs/>
                <w:sz w:val="20"/>
                <w:szCs w:val="20"/>
              </w:rPr>
            </w:pPr>
            <w:r w:rsidRPr="003D5A78">
              <w:rPr>
                <w:rFonts w:ascii="Calibri" w:hAnsi="Calibri" w:cs="Calibri"/>
                <w:b/>
                <w:sz w:val="20"/>
                <w:szCs w:val="20"/>
              </w:rPr>
              <w:t xml:space="preserve">E.5 </w:t>
            </w:r>
            <w:r w:rsidRPr="003D5A78">
              <w:rPr>
                <w:rFonts w:ascii="Calibri" w:hAnsi="Calibri" w:cs="Calibri"/>
                <w:b/>
                <w:bCs/>
                <w:sz w:val="20"/>
                <w:szCs w:val="20"/>
              </w:rPr>
              <w:t>Board Performance</w:t>
            </w:r>
          </w:p>
        </w:tc>
        <w:tc>
          <w:tcPr>
            <w:tcW w:w="4165" w:type="dxa"/>
            <w:tcBorders>
              <w:top w:val="single" w:sz="4" w:space="0" w:color="auto"/>
              <w:left w:val="nil"/>
              <w:bottom w:val="single" w:sz="4" w:space="0" w:color="auto"/>
              <w:right w:val="nil"/>
            </w:tcBorders>
            <w:shd w:val="clear" w:color="auto" w:fill="FFCC99"/>
          </w:tcPr>
          <w:p w:rsidR="00DD686F" w:rsidRPr="005550BB" w:rsidRDefault="00DD686F" w:rsidP="009D6348">
            <w:pPr>
              <w:rPr>
                <w:b/>
                <w:bCs/>
                <w:sz w:val="18"/>
                <w:szCs w:val="20"/>
              </w:rPr>
            </w:pPr>
          </w:p>
        </w:tc>
        <w:tc>
          <w:tcPr>
            <w:tcW w:w="4392" w:type="dxa"/>
            <w:gridSpan w:val="2"/>
            <w:tcBorders>
              <w:left w:val="nil"/>
              <w:bottom w:val="single" w:sz="4" w:space="0" w:color="auto"/>
            </w:tcBorders>
            <w:shd w:val="clear" w:color="auto" w:fill="FFCC99"/>
          </w:tcPr>
          <w:p w:rsidR="00DD686F" w:rsidRDefault="00DD686F" w:rsidP="009D6348">
            <w:pPr>
              <w:rPr>
                <w:b/>
                <w:sz w:val="20"/>
                <w:szCs w:val="20"/>
              </w:rPr>
            </w:pPr>
          </w:p>
        </w:tc>
      </w:tr>
      <w:tr w:rsidR="00DD686F" w:rsidTr="009D6348">
        <w:trPr>
          <w:trHeight w:val="3878"/>
        </w:trPr>
        <w:tc>
          <w:tcPr>
            <w:tcW w:w="1391" w:type="dxa"/>
          </w:tcPr>
          <w:p w:rsidR="00DD686F" w:rsidRDefault="00DD686F" w:rsidP="009D6348">
            <w:pPr>
              <w:rPr>
                <w:rFonts w:ascii="Calibri" w:hAnsi="Calibri" w:cs="Calibri"/>
                <w:sz w:val="20"/>
                <w:szCs w:val="20"/>
              </w:rPr>
            </w:pPr>
            <w:r>
              <w:rPr>
                <w:rFonts w:ascii="Calibri" w:hAnsi="Calibri" w:cs="Calibri"/>
                <w:sz w:val="20"/>
                <w:szCs w:val="20"/>
              </w:rPr>
              <w:t>E.5.1(B)</w:t>
            </w:r>
          </w:p>
        </w:tc>
        <w:tc>
          <w:tcPr>
            <w:tcW w:w="4668" w:type="dxa"/>
          </w:tcPr>
          <w:p w:rsidR="00DD686F" w:rsidRDefault="00DD686F" w:rsidP="009D6348">
            <w:pPr>
              <w:rPr>
                <w:rFonts w:ascii="Calibri" w:hAnsi="Calibri" w:cs="Calibri"/>
                <w:sz w:val="20"/>
                <w:szCs w:val="20"/>
              </w:rPr>
            </w:pPr>
            <w:r>
              <w:rPr>
                <w:rFonts w:ascii="Calibri" w:hAnsi="Calibri" w:cs="Calibri"/>
                <w:sz w:val="20"/>
                <w:szCs w:val="20"/>
              </w:rPr>
              <w:t>Does the company have a separate level Risk Committee?</w:t>
            </w:r>
          </w:p>
        </w:tc>
        <w:tc>
          <w:tcPr>
            <w:tcW w:w="4165" w:type="dxa"/>
            <w:tcBorders>
              <w:top w:val="single" w:sz="4" w:space="0" w:color="auto"/>
              <w:right w:val="single" w:sz="4" w:space="0" w:color="auto"/>
            </w:tcBorders>
          </w:tcPr>
          <w:p w:rsidR="00DD686F" w:rsidRPr="003D5A78" w:rsidRDefault="00DD686F" w:rsidP="009D6348">
            <w:pPr>
              <w:rPr>
                <w:rFonts w:ascii="Calibri" w:hAnsi="Calibri" w:cs="Calibri"/>
                <w:b/>
                <w:sz w:val="20"/>
                <w:szCs w:val="20"/>
              </w:rPr>
            </w:pPr>
            <w:r w:rsidRPr="003D5A78">
              <w:rPr>
                <w:rFonts w:ascii="Calibri" w:hAnsi="Calibri" w:cs="Calibri"/>
                <w:b/>
                <w:sz w:val="16"/>
                <w:szCs w:val="20"/>
              </w:rPr>
              <w:t>International Financial Corporation’s Global Corporate Governance Forum Publication: When Do Companies Need a Board-level Risk Management Committee?(Volume 31, pp.11, March 2013)</w:t>
            </w:r>
            <w:r w:rsidRPr="003D5A78">
              <w:rPr>
                <w:rFonts w:ascii="Calibri" w:hAnsi="Calibri" w:cs="Calibri"/>
                <w:b/>
                <w:sz w:val="16"/>
                <w:szCs w:val="20"/>
              </w:rPr>
              <w:br/>
            </w:r>
            <w:r w:rsidRPr="003D5A78">
              <w:rPr>
                <w:rFonts w:ascii="Calibri" w:hAnsi="Calibri" w:cs="Calibri"/>
                <w:b/>
                <w:sz w:val="16"/>
                <w:szCs w:val="20"/>
              </w:rPr>
              <w:br/>
              <w:t>Benefits of a Board Level Risk Committee:</w:t>
            </w:r>
            <w:r w:rsidRPr="003D5A78">
              <w:rPr>
                <w:rFonts w:ascii="Calibri" w:hAnsi="Calibri" w:cs="Calibri"/>
                <w:b/>
                <w:sz w:val="16"/>
                <w:szCs w:val="20"/>
              </w:rPr>
              <w:br/>
              <w:t>1. elevate risk oversight to the highest level in the company;</w:t>
            </w:r>
            <w:r w:rsidRPr="003D5A78">
              <w:rPr>
                <w:rFonts w:ascii="Calibri" w:hAnsi="Calibri" w:cs="Calibri"/>
                <w:b/>
                <w:sz w:val="16"/>
                <w:szCs w:val="20"/>
              </w:rPr>
              <w:br/>
              <w:t>2. strengthen the quality of risk management;</w:t>
            </w:r>
            <w:r w:rsidRPr="003D5A78">
              <w:rPr>
                <w:rFonts w:ascii="Calibri" w:hAnsi="Calibri" w:cs="Calibri"/>
                <w:b/>
                <w:sz w:val="16"/>
                <w:szCs w:val="20"/>
              </w:rPr>
              <w:br/>
              <w:t>3. inculcate a risk culture and risk-management environment to mitigate and manage risks effectively across the organization;</w:t>
            </w:r>
            <w:r w:rsidRPr="003D5A78">
              <w:rPr>
                <w:rFonts w:ascii="Calibri" w:hAnsi="Calibri" w:cs="Calibri"/>
                <w:b/>
                <w:sz w:val="16"/>
                <w:szCs w:val="20"/>
              </w:rPr>
              <w:br/>
              <w:t>4. establish a platform for continuous assessment of risks in light of the changing internal and external environments;</w:t>
            </w:r>
            <w:r w:rsidRPr="003D5A78">
              <w:rPr>
                <w:rFonts w:ascii="Calibri" w:hAnsi="Calibri" w:cs="Calibri"/>
                <w:b/>
                <w:sz w:val="16"/>
                <w:szCs w:val="20"/>
              </w:rPr>
              <w:br/>
              <w:t>5. improve communication among the board, management, and other stakeholders about risk management; and</w:t>
            </w:r>
            <w:r w:rsidRPr="003D5A78">
              <w:rPr>
                <w:rFonts w:ascii="Calibri" w:hAnsi="Calibri" w:cs="Calibri"/>
                <w:b/>
                <w:sz w:val="16"/>
                <w:szCs w:val="20"/>
              </w:rPr>
              <w:br/>
              <w:t>6. demonstrate to internal and external stakeholders the company’s commitment to risk management</w:t>
            </w:r>
          </w:p>
        </w:tc>
        <w:tc>
          <w:tcPr>
            <w:tcW w:w="1060" w:type="dxa"/>
            <w:tcBorders>
              <w:top w:val="single" w:sz="4" w:space="0" w:color="auto"/>
              <w:left w:val="single" w:sz="4" w:space="0" w:color="auto"/>
            </w:tcBorders>
          </w:tcPr>
          <w:p w:rsidR="00DD686F" w:rsidRPr="006F537E" w:rsidRDefault="00DD686F" w:rsidP="009D6348">
            <w:pPr>
              <w:jc w:val="center"/>
              <w:rPr>
                <w:sz w:val="20"/>
                <w:szCs w:val="20"/>
              </w:rPr>
            </w:pPr>
            <w:r w:rsidRPr="006F537E">
              <w:rPr>
                <w:sz w:val="20"/>
                <w:szCs w:val="20"/>
              </w:rPr>
              <w:t>Y</w:t>
            </w:r>
          </w:p>
        </w:tc>
        <w:tc>
          <w:tcPr>
            <w:tcW w:w="3332" w:type="dxa"/>
            <w:tcBorders>
              <w:top w:val="single" w:sz="4" w:space="0" w:color="auto"/>
            </w:tcBorders>
          </w:tcPr>
          <w:p w:rsidR="00DD686F" w:rsidRPr="004416AF" w:rsidRDefault="00DD686F" w:rsidP="009D6348">
            <w:pPr>
              <w:rPr>
                <w:b/>
                <w:sz w:val="20"/>
                <w:szCs w:val="20"/>
              </w:rPr>
            </w:pPr>
            <w:hyperlink r:id="rId7" w:history="1">
              <w:r w:rsidRPr="004416AF">
                <w:rPr>
                  <w:rStyle w:val="Hyperlink"/>
                  <w:b/>
                  <w:sz w:val="20"/>
                  <w:szCs w:val="20"/>
                </w:rPr>
                <w:t>Website – Risk Management</w:t>
              </w:r>
            </w:hyperlink>
          </w:p>
        </w:tc>
      </w:tr>
    </w:tbl>
    <w:p w:rsidR="00DD686F" w:rsidRPr="007202BF" w:rsidRDefault="00DD686F" w:rsidP="00DD686F">
      <w:pPr>
        <w:rPr>
          <w:b/>
          <w:sz w:val="20"/>
          <w:szCs w:val="20"/>
        </w:rPr>
      </w:pPr>
    </w:p>
    <w:p w:rsidR="000079A8" w:rsidRDefault="000079A8"/>
    <w:p w:rsidR="00DD686F" w:rsidRDefault="00DD686F" w:rsidP="00DD686F">
      <w:pPr>
        <w:rPr>
          <w:b/>
          <w:sz w:val="20"/>
          <w:szCs w:val="20"/>
        </w:rPr>
      </w:pPr>
      <w:r>
        <w:rPr>
          <w:b/>
          <w:sz w:val="20"/>
          <w:szCs w:val="20"/>
        </w:rPr>
        <w:t>PENALTY</w:t>
      </w:r>
    </w:p>
    <w:tbl>
      <w:tblPr>
        <w:tblStyle w:val="TableGrid"/>
        <w:tblW w:w="0" w:type="auto"/>
        <w:tblInd w:w="108" w:type="dxa"/>
        <w:tblLayout w:type="fixed"/>
        <w:tblCellMar>
          <w:left w:w="115" w:type="dxa"/>
          <w:right w:w="115" w:type="dxa"/>
        </w:tblCellMar>
        <w:tblLook w:val="04A0"/>
      </w:tblPr>
      <w:tblGrid>
        <w:gridCol w:w="1098"/>
        <w:gridCol w:w="4748"/>
        <w:gridCol w:w="4151"/>
        <w:gridCol w:w="1170"/>
        <w:gridCol w:w="4215"/>
      </w:tblGrid>
      <w:tr w:rsidR="00DD686F" w:rsidTr="009D6348">
        <w:tc>
          <w:tcPr>
            <w:tcW w:w="1098" w:type="dxa"/>
            <w:shd w:val="clear" w:color="auto" w:fill="FFC000"/>
          </w:tcPr>
          <w:p w:rsidR="00DD686F" w:rsidRDefault="00DD686F" w:rsidP="009D6348">
            <w:pPr>
              <w:jc w:val="center"/>
              <w:rPr>
                <w:b/>
                <w:sz w:val="20"/>
                <w:szCs w:val="20"/>
              </w:rPr>
            </w:pPr>
            <w:r>
              <w:rPr>
                <w:b/>
                <w:sz w:val="20"/>
                <w:szCs w:val="20"/>
              </w:rPr>
              <w:t>ITEM No.</w:t>
            </w:r>
          </w:p>
        </w:tc>
        <w:tc>
          <w:tcPr>
            <w:tcW w:w="4748" w:type="dxa"/>
            <w:shd w:val="clear" w:color="auto" w:fill="FFC000"/>
          </w:tcPr>
          <w:p w:rsidR="00DD686F" w:rsidRDefault="00DD686F" w:rsidP="009D6348">
            <w:pPr>
              <w:jc w:val="center"/>
              <w:rPr>
                <w:b/>
                <w:sz w:val="20"/>
                <w:szCs w:val="20"/>
              </w:rPr>
            </w:pPr>
            <w:r>
              <w:rPr>
                <w:b/>
                <w:sz w:val="20"/>
                <w:szCs w:val="20"/>
              </w:rPr>
              <w:t>RIGHTS OF THE SHAREHOLDERS</w:t>
            </w:r>
          </w:p>
        </w:tc>
        <w:tc>
          <w:tcPr>
            <w:tcW w:w="4151" w:type="dxa"/>
            <w:shd w:val="clear" w:color="auto" w:fill="FFC000"/>
          </w:tcPr>
          <w:p w:rsidR="00DD686F" w:rsidRDefault="00DD686F" w:rsidP="009D6348">
            <w:pPr>
              <w:jc w:val="center"/>
              <w:rPr>
                <w:b/>
                <w:sz w:val="20"/>
                <w:szCs w:val="20"/>
              </w:rPr>
            </w:pPr>
            <w:r>
              <w:rPr>
                <w:b/>
                <w:sz w:val="20"/>
                <w:szCs w:val="20"/>
              </w:rPr>
              <w:t>APPLICABLE PRINCIPLE</w:t>
            </w:r>
          </w:p>
        </w:tc>
        <w:tc>
          <w:tcPr>
            <w:tcW w:w="1170" w:type="dxa"/>
            <w:shd w:val="clear" w:color="auto" w:fill="FFC000"/>
          </w:tcPr>
          <w:p w:rsidR="00DD686F" w:rsidRDefault="00DD686F" w:rsidP="009D6348">
            <w:pPr>
              <w:jc w:val="center"/>
              <w:rPr>
                <w:b/>
                <w:sz w:val="20"/>
                <w:szCs w:val="20"/>
              </w:rPr>
            </w:pPr>
            <w:r>
              <w:rPr>
                <w:b/>
                <w:sz w:val="20"/>
                <w:szCs w:val="20"/>
              </w:rPr>
              <w:t>RESPONSE</w:t>
            </w:r>
          </w:p>
        </w:tc>
        <w:tc>
          <w:tcPr>
            <w:tcW w:w="4215" w:type="dxa"/>
            <w:shd w:val="clear" w:color="auto" w:fill="FFC000"/>
          </w:tcPr>
          <w:p w:rsidR="00DD686F" w:rsidRDefault="00DD686F" w:rsidP="009D6348">
            <w:pPr>
              <w:jc w:val="center"/>
              <w:rPr>
                <w:b/>
                <w:sz w:val="20"/>
                <w:szCs w:val="20"/>
              </w:rPr>
            </w:pPr>
            <w:r>
              <w:rPr>
                <w:b/>
                <w:sz w:val="20"/>
                <w:szCs w:val="20"/>
              </w:rPr>
              <w:t>REFERENCE/SOURCE DOCUMENT</w:t>
            </w:r>
          </w:p>
        </w:tc>
      </w:tr>
      <w:tr w:rsidR="00DD686F" w:rsidTr="009D6348">
        <w:tc>
          <w:tcPr>
            <w:tcW w:w="15382" w:type="dxa"/>
            <w:gridSpan w:val="5"/>
            <w:shd w:val="clear" w:color="auto" w:fill="FFCC99"/>
          </w:tcPr>
          <w:p w:rsidR="00DD686F" w:rsidRDefault="00DD686F" w:rsidP="009D6348">
            <w:pPr>
              <w:rPr>
                <w:b/>
                <w:sz w:val="20"/>
                <w:szCs w:val="20"/>
              </w:rPr>
            </w:pPr>
            <w:r>
              <w:rPr>
                <w:b/>
                <w:sz w:val="20"/>
                <w:szCs w:val="20"/>
              </w:rPr>
              <w:t>A.1 Basic shareholder rights</w:t>
            </w:r>
          </w:p>
        </w:tc>
      </w:tr>
      <w:tr w:rsidR="00DD686F" w:rsidTr="009D6348">
        <w:trPr>
          <w:trHeight w:val="879"/>
        </w:trPr>
        <w:tc>
          <w:tcPr>
            <w:tcW w:w="1098" w:type="dxa"/>
          </w:tcPr>
          <w:p w:rsidR="00DD686F" w:rsidRDefault="00DD686F" w:rsidP="009D6348">
            <w:pPr>
              <w:rPr>
                <w:rFonts w:ascii="Calibri" w:hAnsi="Calibri" w:cs="Calibri"/>
                <w:sz w:val="20"/>
                <w:szCs w:val="20"/>
              </w:rPr>
            </w:pPr>
            <w:r>
              <w:rPr>
                <w:rFonts w:ascii="Calibri" w:hAnsi="Calibri" w:cs="Calibri"/>
                <w:sz w:val="20"/>
                <w:szCs w:val="20"/>
              </w:rPr>
              <w:t>A.1.1(P)</w:t>
            </w:r>
          </w:p>
        </w:tc>
        <w:tc>
          <w:tcPr>
            <w:tcW w:w="4748" w:type="dxa"/>
          </w:tcPr>
          <w:p w:rsidR="00DD686F" w:rsidRDefault="00DD686F" w:rsidP="009D6348">
            <w:pPr>
              <w:rPr>
                <w:rFonts w:ascii="Calibri" w:hAnsi="Calibri" w:cs="Calibri"/>
                <w:sz w:val="20"/>
                <w:szCs w:val="20"/>
              </w:rPr>
            </w:pPr>
            <w:r>
              <w:rPr>
                <w:rFonts w:ascii="Calibri" w:hAnsi="Calibri" w:cs="Calibri"/>
                <w:sz w:val="20"/>
                <w:szCs w:val="20"/>
              </w:rPr>
              <w:t xml:space="preserve">Did the company fail or neglect to offer equal treatment for share repurchases to all shareholders? </w:t>
            </w:r>
          </w:p>
        </w:tc>
        <w:tc>
          <w:tcPr>
            <w:tcW w:w="4151" w:type="dxa"/>
          </w:tcPr>
          <w:p w:rsidR="00DD686F" w:rsidRDefault="00DD686F" w:rsidP="009D6348">
            <w:pPr>
              <w:rPr>
                <w:rFonts w:ascii="Calibri" w:hAnsi="Calibri" w:cs="Calibri"/>
                <w:b/>
                <w:bCs/>
                <w:sz w:val="20"/>
                <w:szCs w:val="20"/>
              </w:rPr>
            </w:pPr>
            <w:r>
              <w:rPr>
                <w:rFonts w:ascii="Calibri" w:hAnsi="Calibri" w:cs="Calibri"/>
                <w:b/>
                <w:bCs/>
                <w:sz w:val="20"/>
                <w:szCs w:val="20"/>
              </w:rPr>
              <w:t>OECD Principle II (A)</w:t>
            </w:r>
          </w:p>
        </w:tc>
        <w:tc>
          <w:tcPr>
            <w:tcW w:w="1170" w:type="dxa"/>
          </w:tcPr>
          <w:p w:rsidR="00DD686F" w:rsidRDefault="00DD686F" w:rsidP="009D6348">
            <w:pPr>
              <w:jc w:val="center"/>
              <w:rPr>
                <w:b/>
                <w:sz w:val="20"/>
                <w:szCs w:val="20"/>
              </w:rPr>
            </w:pPr>
            <w:r>
              <w:rPr>
                <w:b/>
                <w:sz w:val="20"/>
                <w:szCs w:val="20"/>
              </w:rPr>
              <w:t>N/A</w:t>
            </w:r>
          </w:p>
        </w:tc>
        <w:tc>
          <w:tcPr>
            <w:tcW w:w="4215" w:type="dxa"/>
          </w:tcPr>
          <w:p w:rsidR="00DD686F" w:rsidRDefault="00DD686F" w:rsidP="009D6348">
            <w:pPr>
              <w:rPr>
                <w:b/>
                <w:sz w:val="20"/>
                <w:szCs w:val="20"/>
              </w:rPr>
            </w:pPr>
          </w:p>
        </w:tc>
      </w:tr>
      <w:tr w:rsidR="00DD686F" w:rsidTr="009D6348">
        <w:tc>
          <w:tcPr>
            <w:tcW w:w="15382" w:type="dxa"/>
            <w:gridSpan w:val="5"/>
            <w:shd w:val="clear" w:color="auto" w:fill="FFCC99"/>
          </w:tcPr>
          <w:p w:rsidR="00DD686F" w:rsidRPr="00AE6440" w:rsidRDefault="00DD686F" w:rsidP="009D6348">
            <w:pPr>
              <w:rPr>
                <w:b/>
                <w:sz w:val="20"/>
                <w:szCs w:val="20"/>
              </w:rPr>
            </w:pPr>
            <w:r>
              <w:br w:type="page"/>
            </w:r>
            <w:r>
              <w:rPr>
                <w:b/>
                <w:sz w:val="20"/>
                <w:szCs w:val="20"/>
              </w:rPr>
              <w:t xml:space="preserve">A.2 </w:t>
            </w:r>
            <w:r>
              <w:rPr>
                <w:rFonts w:ascii="Calibri" w:hAnsi="Calibri"/>
                <w:b/>
                <w:bCs/>
                <w:sz w:val="20"/>
                <w:szCs w:val="20"/>
              </w:rPr>
              <w:t>Shareholders, including institutional shareholders, should be allowed to consult with each other on issues concerning their basic shareholder rights as defined in the Principles, subject to exceptions to prevent abuse.</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A.2.1(P)</w:t>
            </w:r>
          </w:p>
        </w:tc>
        <w:tc>
          <w:tcPr>
            <w:tcW w:w="4748" w:type="dxa"/>
          </w:tcPr>
          <w:p w:rsidR="00DD686F" w:rsidRDefault="00DD686F" w:rsidP="009D6348">
            <w:pPr>
              <w:rPr>
                <w:rFonts w:ascii="Calibri" w:hAnsi="Calibri"/>
                <w:sz w:val="20"/>
                <w:szCs w:val="20"/>
              </w:rPr>
            </w:pPr>
            <w:r>
              <w:rPr>
                <w:rFonts w:ascii="Calibri" w:hAnsi="Calibri"/>
                <w:sz w:val="20"/>
                <w:szCs w:val="20"/>
              </w:rPr>
              <w:t>Is there evidence of barriers that prevent shareholders from communicating or consulting with other shareholders?</w:t>
            </w:r>
          </w:p>
        </w:tc>
        <w:tc>
          <w:tcPr>
            <w:tcW w:w="4151" w:type="dxa"/>
          </w:tcPr>
          <w:p w:rsidR="00DD686F" w:rsidRDefault="00DD686F" w:rsidP="009D6348">
            <w:pPr>
              <w:rPr>
                <w:rFonts w:ascii="Calibri" w:hAnsi="Calibri"/>
                <w:sz w:val="20"/>
                <w:szCs w:val="20"/>
              </w:rPr>
            </w:pPr>
            <w:r>
              <w:rPr>
                <w:rFonts w:ascii="Calibri" w:hAnsi="Calibri"/>
                <w:b/>
                <w:bCs/>
                <w:sz w:val="20"/>
                <w:szCs w:val="20"/>
              </w:rPr>
              <w:t>OECD Principle II (G</w:t>
            </w:r>
            <w:proofErr w:type="gramStart"/>
            <w:r>
              <w:rPr>
                <w:rFonts w:ascii="Calibri" w:hAnsi="Calibri"/>
                <w:b/>
                <w:bCs/>
                <w:sz w:val="20"/>
                <w:szCs w:val="20"/>
              </w:rPr>
              <w:t>)</w:t>
            </w:r>
            <w:proofErr w:type="gramEnd"/>
            <w:r>
              <w:rPr>
                <w:rFonts w:ascii="Calibri" w:hAnsi="Calibri"/>
                <w:b/>
                <w:bCs/>
                <w:sz w:val="20"/>
                <w:szCs w:val="20"/>
              </w:rPr>
              <w:br/>
            </w:r>
            <w:r>
              <w:rPr>
                <w:rFonts w:ascii="Calibri" w:hAnsi="Calibri"/>
                <w:sz w:val="20"/>
                <w:szCs w:val="20"/>
              </w:rPr>
              <w:t>Shareholders, including institutional shareholders, should be allowed to consult with each other on issues concerning their basic shareholder rights as defined in the Principles, subject to exceptions to prevent abuse.</w:t>
            </w:r>
          </w:p>
        </w:tc>
        <w:tc>
          <w:tcPr>
            <w:tcW w:w="1170" w:type="dxa"/>
            <w:vAlign w:val="center"/>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r>
              <w:rPr>
                <w:b/>
                <w:sz w:val="20"/>
                <w:szCs w:val="20"/>
              </w:rPr>
              <w:t>There are no barriers that prevent the shareholders to communicate with other shareholders</w:t>
            </w:r>
          </w:p>
        </w:tc>
      </w:tr>
      <w:tr w:rsidR="00DD686F" w:rsidTr="009D6348">
        <w:tc>
          <w:tcPr>
            <w:tcW w:w="15382" w:type="dxa"/>
            <w:gridSpan w:val="5"/>
            <w:shd w:val="clear" w:color="auto" w:fill="FABF8F" w:themeFill="accent6" w:themeFillTint="99"/>
          </w:tcPr>
          <w:p w:rsidR="00DD686F" w:rsidRPr="00AE6440" w:rsidRDefault="00DD686F" w:rsidP="009D6348">
            <w:pPr>
              <w:rPr>
                <w:b/>
                <w:sz w:val="20"/>
                <w:szCs w:val="20"/>
              </w:rPr>
            </w:pPr>
            <w:r>
              <w:rPr>
                <w:b/>
                <w:sz w:val="20"/>
                <w:szCs w:val="20"/>
              </w:rPr>
              <w:t xml:space="preserve">A.3 </w:t>
            </w:r>
            <w:r>
              <w:rPr>
                <w:rFonts w:ascii="Calibri" w:hAnsi="Calibri"/>
                <w:b/>
                <w:bCs/>
                <w:sz w:val="20"/>
                <w:szCs w:val="20"/>
              </w:rPr>
              <w:t>Right to participate effectively in and vote in general shareholders meeting and should be informed of the rules, including voting procedures, that govern general shareholders meeting.</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A.3.1(P)</w:t>
            </w:r>
          </w:p>
        </w:tc>
        <w:tc>
          <w:tcPr>
            <w:tcW w:w="4748" w:type="dxa"/>
          </w:tcPr>
          <w:p w:rsidR="00DD686F" w:rsidRDefault="00DD686F" w:rsidP="009D6348">
            <w:pPr>
              <w:rPr>
                <w:rFonts w:ascii="Calibri" w:hAnsi="Calibri"/>
                <w:sz w:val="20"/>
                <w:szCs w:val="20"/>
              </w:rPr>
            </w:pPr>
            <w:r>
              <w:rPr>
                <w:rFonts w:ascii="Calibri" w:hAnsi="Calibri"/>
                <w:sz w:val="20"/>
                <w:szCs w:val="20"/>
              </w:rPr>
              <w:t>Did the company include any additional and unannounced agenda item into the notice of AGM/EGM?</w:t>
            </w:r>
          </w:p>
        </w:tc>
        <w:tc>
          <w:tcPr>
            <w:tcW w:w="4151" w:type="dxa"/>
          </w:tcPr>
          <w:p w:rsidR="00DD686F" w:rsidRDefault="00DD686F" w:rsidP="009D6348">
            <w:pPr>
              <w:rPr>
                <w:rFonts w:ascii="Calibri" w:hAnsi="Calibri"/>
                <w:b/>
                <w:bCs/>
                <w:sz w:val="20"/>
                <w:szCs w:val="20"/>
              </w:rPr>
            </w:pPr>
            <w:r>
              <w:rPr>
                <w:rFonts w:ascii="Calibri" w:hAnsi="Calibri"/>
                <w:b/>
                <w:bCs/>
                <w:sz w:val="20"/>
                <w:szCs w:val="20"/>
              </w:rPr>
              <w:t>OECD Principle II (C) 2</w:t>
            </w:r>
          </w:p>
        </w:tc>
        <w:tc>
          <w:tcPr>
            <w:tcW w:w="1170" w:type="dxa"/>
            <w:vAlign w:val="center"/>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r>
              <w:rPr>
                <w:b/>
                <w:sz w:val="20"/>
                <w:szCs w:val="20"/>
              </w:rPr>
              <w:t>All matters discussed during the meeting are clearly included in the notice of AGM/EGM.</w:t>
            </w:r>
          </w:p>
        </w:tc>
      </w:tr>
      <w:tr w:rsidR="00DD686F" w:rsidTr="009D6348">
        <w:tc>
          <w:tcPr>
            <w:tcW w:w="15382" w:type="dxa"/>
            <w:gridSpan w:val="5"/>
            <w:tcBorders>
              <w:bottom w:val="single" w:sz="4" w:space="0" w:color="auto"/>
            </w:tcBorders>
            <w:shd w:val="clear" w:color="auto" w:fill="FABF8F" w:themeFill="accent6" w:themeFillTint="99"/>
          </w:tcPr>
          <w:p w:rsidR="00DD686F" w:rsidRPr="00AE6440" w:rsidRDefault="00DD686F" w:rsidP="009D6348">
            <w:pPr>
              <w:rPr>
                <w:b/>
                <w:sz w:val="20"/>
                <w:szCs w:val="20"/>
              </w:rPr>
            </w:pPr>
            <w:r>
              <w:rPr>
                <w:b/>
                <w:sz w:val="20"/>
                <w:szCs w:val="20"/>
              </w:rPr>
              <w:t xml:space="preserve">A.4 </w:t>
            </w:r>
            <w:r>
              <w:rPr>
                <w:rFonts w:ascii="Calibri" w:hAnsi="Calibri"/>
                <w:b/>
                <w:bCs/>
                <w:sz w:val="20"/>
                <w:szCs w:val="20"/>
              </w:rPr>
              <w:t>Capital structures and arrangements that enable certain shareholders to obtain a degree of control disproportionate to their equity ownership should be disclosed.</w:t>
            </w:r>
          </w:p>
        </w:tc>
      </w:tr>
      <w:tr w:rsidR="00DD686F" w:rsidTr="009D6348">
        <w:tc>
          <w:tcPr>
            <w:tcW w:w="1098" w:type="dxa"/>
            <w:tcBorders>
              <w:top w:val="single" w:sz="4" w:space="0" w:color="auto"/>
              <w:left w:val="single" w:sz="4" w:space="0" w:color="auto"/>
              <w:bottom w:val="single" w:sz="4" w:space="0" w:color="auto"/>
              <w:right w:val="nil"/>
            </w:tcBorders>
          </w:tcPr>
          <w:p w:rsidR="00DD686F" w:rsidRDefault="00DD686F" w:rsidP="009D6348">
            <w:pPr>
              <w:rPr>
                <w:rFonts w:ascii="Calibri" w:hAnsi="Calibri" w:cs="Calibri"/>
                <w:sz w:val="20"/>
                <w:szCs w:val="20"/>
              </w:rPr>
            </w:pPr>
          </w:p>
        </w:tc>
        <w:tc>
          <w:tcPr>
            <w:tcW w:w="4748" w:type="dxa"/>
            <w:tcBorders>
              <w:top w:val="single" w:sz="4" w:space="0" w:color="auto"/>
              <w:left w:val="nil"/>
              <w:bottom w:val="single" w:sz="4" w:space="0" w:color="auto"/>
              <w:right w:val="nil"/>
            </w:tcBorders>
          </w:tcPr>
          <w:p w:rsidR="00DD686F" w:rsidRPr="00AE6440" w:rsidRDefault="00DD686F" w:rsidP="009D6348">
            <w:pPr>
              <w:rPr>
                <w:rFonts w:ascii="Calibri" w:hAnsi="Calibri"/>
                <w:b/>
                <w:bCs/>
                <w:i/>
                <w:iCs/>
                <w:sz w:val="20"/>
                <w:szCs w:val="20"/>
              </w:rPr>
            </w:pPr>
            <w:r>
              <w:rPr>
                <w:rFonts w:ascii="Calibri" w:hAnsi="Calibri"/>
                <w:b/>
                <w:bCs/>
                <w:i/>
                <w:iCs/>
                <w:sz w:val="20"/>
                <w:szCs w:val="20"/>
              </w:rPr>
              <w:t>Did the company fail to disclose the existence of:</w:t>
            </w:r>
          </w:p>
        </w:tc>
        <w:tc>
          <w:tcPr>
            <w:tcW w:w="4151" w:type="dxa"/>
            <w:tcBorders>
              <w:top w:val="single" w:sz="4" w:space="0" w:color="auto"/>
              <w:left w:val="nil"/>
              <w:bottom w:val="single" w:sz="4" w:space="0" w:color="auto"/>
              <w:right w:val="nil"/>
            </w:tcBorders>
          </w:tcPr>
          <w:p w:rsidR="00DD686F" w:rsidRPr="00B255BA" w:rsidRDefault="00DD686F" w:rsidP="009D6348">
            <w:pPr>
              <w:rPr>
                <w:b/>
                <w:bCs/>
                <w:sz w:val="20"/>
                <w:szCs w:val="20"/>
              </w:rPr>
            </w:pPr>
          </w:p>
        </w:tc>
        <w:tc>
          <w:tcPr>
            <w:tcW w:w="1170" w:type="dxa"/>
            <w:tcBorders>
              <w:top w:val="single" w:sz="4" w:space="0" w:color="auto"/>
              <w:left w:val="nil"/>
              <w:bottom w:val="single" w:sz="4" w:space="0" w:color="auto"/>
              <w:right w:val="nil"/>
            </w:tcBorders>
          </w:tcPr>
          <w:p w:rsidR="00DD686F" w:rsidRDefault="00DD686F" w:rsidP="009D6348">
            <w:pPr>
              <w:rPr>
                <w:b/>
                <w:sz w:val="20"/>
                <w:szCs w:val="20"/>
              </w:rPr>
            </w:pPr>
          </w:p>
        </w:tc>
        <w:tc>
          <w:tcPr>
            <w:tcW w:w="4215" w:type="dxa"/>
            <w:tcBorders>
              <w:top w:val="single" w:sz="4" w:space="0" w:color="auto"/>
              <w:left w:val="nil"/>
              <w:bottom w:val="single" w:sz="4" w:space="0" w:color="auto"/>
              <w:right w:val="single" w:sz="4" w:space="0" w:color="auto"/>
            </w:tcBorders>
          </w:tcPr>
          <w:p w:rsidR="00DD686F" w:rsidRDefault="00DD686F" w:rsidP="009D6348">
            <w:pPr>
              <w:rPr>
                <w:b/>
                <w:sz w:val="20"/>
                <w:szCs w:val="20"/>
              </w:rPr>
            </w:pPr>
          </w:p>
        </w:tc>
      </w:tr>
      <w:tr w:rsidR="00DD686F" w:rsidTr="009D6348">
        <w:trPr>
          <w:trHeight w:val="233"/>
        </w:trPr>
        <w:tc>
          <w:tcPr>
            <w:tcW w:w="1098" w:type="dxa"/>
            <w:tcBorders>
              <w:top w:val="single" w:sz="4" w:space="0" w:color="auto"/>
            </w:tcBorders>
          </w:tcPr>
          <w:p w:rsidR="00DD686F" w:rsidRDefault="00DD686F" w:rsidP="009D6348">
            <w:pPr>
              <w:rPr>
                <w:rFonts w:ascii="Calibri" w:hAnsi="Calibri"/>
                <w:sz w:val="20"/>
                <w:szCs w:val="20"/>
              </w:rPr>
            </w:pPr>
            <w:r>
              <w:rPr>
                <w:rFonts w:ascii="Calibri" w:hAnsi="Calibri"/>
                <w:sz w:val="20"/>
                <w:szCs w:val="20"/>
              </w:rPr>
              <w:t>A.4.1(P)</w:t>
            </w:r>
          </w:p>
        </w:tc>
        <w:tc>
          <w:tcPr>
            <w:tcW w:w="4748" w:type="dxa"/>
            <w:tcBorders>
              <w:top w:val="single" w:sz="4" w:space="0" w:color="auto"/>
            </w:tcBorders>
          </w:tcPr>
          <w:p w:rsidR="00DD686F" w:rsidRDefault="00DD686F" w:rsidP="009D6348">
            <w:pPr>
              <w:rPr>
                <w:rFonts w:ascii="Calibri" w:hAnsi="Calibri"/>
                <w:sz w:val="20"/>
                <w:szCs w:val="20"/>
              </w:rPr>
            </w:pPr>
            <w:r>
              <w:rPr>
                <w:rFonts w:ascii="Calibri" w:hAnsi="Calibri"/>
                <w:sz w:val="20"/>
                <w:szCs w:val="20"/>
              </w:rPr>
              <w:t>Shareholders agreement?</w:t>
            </w:r>
          </w:p>
        </w:tc>
        <w:tc>
          <w:tcPr>
            <w:tcW w:w="4151" w:type="dxa"/>
            <w:vMerge w:val="restart"/>
            <w:tcBorders>
              <w:top w:val="single" w:sz="4" w:space="0" w:color="auto"/>
            </w:tcBorders>
          </w:tcPr>
          <w:p w:rsidR="00DD686F" w:rsidRDefault="00DD686F" w:rsidP="009D6348">
            <w:pPr>
              <w:rPr>
                <w:rFonts w:ascii="Calibri" w:hAnsi="Calibri"/>
                <w:b/>
                <w:bCs/>
                <w:sz w:val="20"/>
                <w:szCs w:val="20"/>
              </w:rPr>
            </w:pPr>
            <w:r>
              <w:rPr>
                <w:rFonts w:ascii="Calibri" w:hAnsi="Calibri"/>
                <w:b/>
                <w:bCs/>
                <w:sz w:val="20"/>
                <w:szCs w:val="20"/>
              </w:rPr>
              <w:t>OECD Principle II (D)</w:t>
            </w:r>
          </w:p>
        </w:tc>
        <w:tc>
          <w:tcPr>
            <w:tcW w:w="1170" w:type="dxa"/>
            <w:tcBorders>
              <w:top w:val="single" w:sz="4" w:space="0" w:color="auto"/>
            </w:tcBorders>
          </w:tcPr>
          <w:p w:rsidR="00DD686F" w:rsidRDefault="00DD686F" w:rsidP="009D6348">
            <w:pPr>
              <w:jc w:val="center"/>
              <w:rPr>
                <w:b/>
                <w:sz w:val="20"/>
                <w:szCs w:val="20"/>
              </w:rPr>
            </w:pPr>
            <w:r>
              <w:rPr>
                <w:b/>
                <w:sz w:val="20"/>
                <w:szCs w:val="20"/>
              </w:rPr>
              <w:t>N</w:t>
            </w:r>
          </w:p>
        </w:tc>
        <w:tc>
          <w:tcPr>
            <w:tcW w:w="4215" w:type="dxa"/>
            <w:tcBorders>
              <w:top w:val="single" w:sz="4" w:space="0" w:color="auto"/>
            </w:tcBorders>
          </w:tcPr>
          <w:p w:rsidR="00DD686F" w:rsidRDefault="00DD686F" w:rsidP="009D6348">
            <w:pPr>
              <w:rPr>
                <w:b/>
                <w:sz w:val="20"/>
                <w:szCs w:val="20"/>
              </w:rPr>
            </w:pPr>
            <w:hyperlink r:id="rId8" w:history="1">
              <w:r w:rsidRPr="00E43FF2">
                <w:rPr>
                  <w:rStyle w:val="Hyperlink"/>
                  <w:b/>
                  <w:sz w:val="20"/>
                  <w:szCs w:val="20"/>
                </w:rPr>
                <w:t>All agreements of the shareholders are disclosed to the company.</w:t>
              </w:r>
            </w:hyperlink>
          </w:p>
          <w:p w:rsidR="00DD686F" w:rsidRDefault="00DD686F" w:rsidP="009D6348">
            <w:pPr>
              <w:rPr>
                <w:b/>
                <w:sz w:val="20"/>
                <w:szCs w:val="20"/>
              </w:rPr>
            </w:pP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A.4.2(P)</w:t>
            </w:r>
          </w:p>
        </w:tc>
        <w:tc>
          <w:tcPr>
            <w:tcW w:w="4748" w:type="dxa"/>
          </w:tcPr>
          <w:p w:rsidR="00DD686F" w:rsidRDefault="00DD686F" w:rsidP="009D6348">
            <w:pPr>
              <w:rPr>
                <w:rFonts w:ascii="Calibri" w:hAnsi="Calibri"/>
                <w:sz w:val="20"/>
                <w:szCs w:val="20"/>
              </w:rPr>
            </w:pPr>
            <w:r>
              <w:rPr>
                <w:rFonts w:ascii="Calibri" w:hAnsi="Calibri"/>
                <w:sz w:val="20"/>
                <w:szCs w:val="20"/>
              </w:rPr>
              <w:t>Voting cap?</w:t>
            </w:r>
          </w:p>
        </w:tc>
        <w:tc>
          <w:tcPr>
            <w:tcW w:w="4151" w:type="dxa"/>
            <w:vMerge/>
            <w:vAlign w:val="center"/>
          </w:tcPr>
          <w:p w:rsidR="00DD686F" w:rsidRDefault="00DD686F" w:rsidP="009D6348">
            <w:pPr>
              <w:rPr>
                <w:rFonts w:ascii="Calibri" w:hAnsi="Calibri"/>
                <w:b/>
                <w:bCs/>
                <w:sz w:val="20"/>
                <w:szCs w:val="20"/>
              </w:rPr>
            </w:pPr>
          </w:p>
        </w:tc>
        <w:tc>
          <w:tcPr>
            <w:tcW w:w="1170"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A.4.3(P)</w:t>
            </w:r>
          </w:p>
        </w:tc>
        <w:tc>
          <w:tcPr>
            <w:tcW w:w="4748" w:type="dxa"/>
          </w:tcPr>
          <w:p w:rsidR="00DD686F" w:rsidRDefault="00DD686F" w:rsidP="009D6348">
            <w:pPr>
              <w:rPr>
                <w:rFonts w:ascii="Calibri" w:hAnsi="Calibri"/>
                <w:sz w:val="20"/>
                <w:szCs w:val="20"/>
              </w:rPr>
            </w:pPr>
            <w:r>
              <w:rPr>
                <w:rFonts w:ascii="Calibri" w:hAnsi="Calibri"/>
                <w:sz w:val="20"/>
                <w:szCs w:val="20"/>
              </w:rPr>
              <w:t>Multiple voting rights?</w:t>
            </w:r>
          </w:p>
        </w:tc>
        <w:tc>
          <w:tcPr>
            <w:tcW w:w="4151" w:type="dxa"/>
            <w:vMerge/>
            <w:vAlign w:val="center"/>
          </w:tcPr>
          <w:p w:rsidR="00DD686F" w:rsidRDefault="00DD686F" w:rsidP="009D6348">
            <w:pPr>
              <w:rPr>
                <w:rFonts w:ascii="Calibri" w:hAnsi="Calibri"/>
                <w:b/>
                <w:bCs/>
                <w:sz w:val="20"/>
                <w:szCs w:val="20"/>
              </w:rPr>
            </w:pPr>
          </w:p>
        </w:tc>
        <w:tc>
          <w:tcPr>
            <w:tcW w:w="1170"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p>
        </w:tc>
      </w:tr>
      <w:tr w:rsidR="00DD686F" w:rsidTr="009D6348">
        <w:tc>
          <w:tcPr>
            <w:tcW w:w="15382" w:type="dxa"/>
            <w:gridSpan w:val="5"/>
            <w:shd w:val="clear" w:color="auto" w:fill="FABF8F" w:themeFill="accent6" w:themeFillTint="99"/>
          </w:tcPr>
          <w:p w:rsidR="00DD686F" w:rsidRPr="00AE6440" w:rsidRDefault="00DD686F" w:rsidP="009D6348">
            <w:pPr>
              <w:rPr>
                <w:b/>
                <w:sz w:val="20"/>
                <w:szCs w:val="20"/>
              </w:rPr>
            </w:pPr>
            <w:r>
              <w:rPr>
                <w:b/>
                <w:sz w:val="20"/>
                <w:szCs w:val="20"/>
              </w:rPr>
              <w:t xml:space="preserve">A.5 </w:t>
            </w:r>
            <w:r>
              <w:rPr>
                <w:rFonts w:ascii="Calibri" w:hAnsi="Calibri"/>
                <w:b/>
                <w:bCs/>
                <w:sz w:val="20"/>
                <w:szCs w:val="20"/>
              </w:rPr>
              <w:t>Capital structures and arrangements that enable certain shareholders to obtain a degree of control disproportionate to their equity ownership should be disclosed.</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A.5.1(P)</w:t>
            </w:r>
          </w:p>
        </w:tc>
        <w:tc>
          <w:tcPr>
            <w:tcW w:w="4748" w:type="dxa"/>
          </w:tcPr>
          <w:p w:rsidR="00DD686F" w:rsidRDefault="00DD686F" w:rsidP="009D6348">
            <w:pPr>
              <w:rPr>
                <w:rFonts w:ascii="Calibri" w:hAnsi="Calibri"/>
                <w:sz w:val="20"/>
                <w:szCs w:val="20"/>
              </w:rPr>
            </w:pPr>
            <w:r>
              <w:rPr>
                <w:rFonts w:ascii="Calibri" w:hAnsi="Calibri"/>
                <w:sz w:val="20"/>
                <w:szCs w:val="20"/>
              </w:rPr>
              <w:t>Is a pyramid ownership structure and/ or cross holding structure apparent?</w:t>
            </w:r>
          </w:p>
        </w:tc>
        <w:tc>
          <w:tcPr>
            <w:tcW w:w="4151" w:type="dxa"/>
          </w:tcPr>
          <w:p w:rsidR="00DD686F" w:rsidRDefault="00DD686F" w:rsidP="009D6348">
            <w:pPr>
              <w:rPr>
                <w:rFonts w:ascii="Calibri" w:hAnsi="Calibri"/>
                <w:sz w:val="20"/>
                <w:szCs w:val="20"/>
              </w:rPr>
            </w:pPr>
            <w:r>
              <w:rPr>
                <w:rFonts w:ascii="Calibri" w:hAnsi="Calibri"/>
                <w:b/>
                <w:bCs/>
                <w:sz w:val="20"/>
                <w:szCs w:val="20"/>
              </w:rPr>
              <w:t xml:space="preserve">OECD Principle II (D): </w:t>
            </w:r>
            <w:r>
              <w:rPr>
                <w:rFonts w:ascii="Calibri" w:hAnsi="Calibri"/>
                <w:sz w:val="20"/>
                <w:szCs w:val="20"/>
              </w:rPr>
              <w:br/>
              <w:t>Capital structures and arrangements that enable certain shareholders to obtain a degree of control disproportionate to their equity ownership should be disclosed.</w:t>
            </w:r>
            <w:r>
              <w:rPr>
                <w:rFonts w:ascii="Calibri" w:hAnsi="Calibri"/>
                <w:sz w:val="20"/>
                <w:szCs w:val="20"/>
              </w:rPr>
              <w:br/>
            </w:r>
            <w:r>
              <w:rPr>
                <w:rFonts w:ascii="Calibri" w:hAnsi="Calibri"/>
                <w:sz w:val="20"/>
                <w:szCs w:val="20"/>
              </w:rPr>
              <w:br/>
              <w:t xml:space="preserve">Some capital structures allow a shareholder to exercise a degree of control over the corporation disproportionate to the shareholders’ equity ownership in the company. Pyramid structures, cross </w:t>
            </w:r>
            <w:r>
              <w:rPr>
                <w:rFonts w:ascii="Calibri" w:hAnsi="Calibri"/>
                <w:sz w:val="20"/>
                <w:szCs w:val="20"/>
              </w:rPr>
              <w:lastRenderedPageBreak/>
              <w:t xml:space="preserve">shareholdings and shares with limited or multiple voting rights can be used to diminish the capability of </w:t>
            </w:r>
            <w:proofErr w:type="spellStart"/>
            <w:r>
              <w:rPr>
                <w:rFonts w:ascii="Calibri" w:hAnsi="Calibri"/>
                <w:sz w:val="20"/>
                <w:szCs w:val="20"/>
              </w:rPr>
              <w:t>noncontrolling</w:t>
            </w:r>
            <w:proofErr w:type="spellEnd"/>
            <w:r>
              <w:rPr>
                <w:rFonts w:ascii="Calibri" w:hAnsi="Calibri"/>
                <w:sz w:val="20"/>
                <w:szCs w:val="20"/>
              </w:rPr>
              <w:t xml:space="preserve"> shareholders to influence corporate policy.</w:t>
            </w:r>
          </w:p>
        </w:tc>
        <w:tc>
          <w:tcPr>
            <w:tcW w:w="1170" w:type="dxa"/>
            <w:vAlign w:val="center"/>
          </w:tcPr>
          <w:p w:rsidR="00DD686F" w:rsidRDefault="00DD686F" w:rsidP="009D6348">
            <w:pPr>
              <w:jc w:val="center"/>
              <w:rPr>
                <w:b/>
                <w:sz w:val="20"/>
                <w:szCs w:val="20"/>
              </w:rPr>
            </w:pPr>
            <w:r>
              <w:rPr>
                <w:b/>
                <w:sz w:val="20"/>
                <w:szCs w:val="20"/>
              </w:rPr>
              <w:lastRenderedPageBreak/>
              <w:t>N/A</w:t>
            </w:r>
          </w:p>
        </w:tc>
        <w:tc>
          <w:tcPr>
            <w:tcW w:w="4215" w:type="dxa"/>
            <w:vAlign w:val="center"/>
          </w:tcPr>
          <w:p w:rsidR="00DD686F" w:rsidRDefault="00DD686F" w:rsidP="009D6348">
            <w:pPr>
              <w:rPr>
                <w:b/>
                <w:sz w:val="20"/>
                <w:szCs w:val="20"/>
              </w:rPr>
            </w:pPr>
          </w:p>
        </w:tc>
      </w:tr>
    </w:tbl>
    <w:p w:rsidR="00DD686F" w:rsidRDefault="00DD686F" w:rsidP="00DD686F">
      <w:pPr>
        <w:spacing w:after="0" w:line="240" w:lineRule="auto"/>
      </w:pPr>
    </w:p>
    <w:tbl>
      <w:tblPr>
        <w:tblStyle w:val="TableGrid"/>
        <w:tblW w:w="0" w:type="auto"/>
        <w:tblInd w:w="108" w:type="dxa"/>
        <w:tblLook w:val="04A0"/>
      </w:tblPr>
      <w:tblGrid>
        <w:gridCol w:w="1069"/>
        <w:gridCol w:w="4455"/>
        <w:gridCol w:w="3905"/>
        <w:gridCol w:w="1087"/>
        <w:gridCol w:w="3992"/>
      </w:tblGrid>
      <w:tr w:rsidR="00DD686F" w:rsidTr="009D6348">
        <w:tc>
          <w:tcPr>
            <w:tcW w:w="1098" w:type="dxa"/>
            <w:shd w:val="clear" w:color="auto" w:fill="FFC000"/>
          </w:tcPr>
          <w:p w:rsidR="00DD686F" w:rsidRDefault="00DD686F" w:rsidP="009D6348">
            <w:pPr>
              <w:jc w:val="center"/>
              <w:rPr>
                <w:b/>
                <w:sz w:val="20"/>
                <w:szCs w:val="20"/>
              </w:rPr>
            </w:pPr>
            <w:r>
              <w:rPr>
                <w:b/>
                <w:sz w:val="20"/>
                <w:szCs w:val="20"/>
              </w:rPr>
              <w:t>ITEM No.</w:t>
            </w:r>
          </w:p>
        </w:tc>
        <w:tc>
          <w:tcPr>
            <w:tcW w:w="4748" w:type="dxa"/>
            <w:shd w:val="clear" w:color="auto" w:fill="FFC000"/>
          </w:tcPr>
          <w:p w:rsidR="00DD686F" w:rsidRDefault="00DD686F" w:rsidP="009D6348">
            <w:pPr>
              <w:jc w:val="center"/>
              <w:rPr>
                <w:b/>
                <w:sz w:val="20"/>
                <w:szCs w:val="20"/>
              </w:rPr>
            </w:pPr>
            <w:r>
              <w:rPr>
                <w:b/>
                <w:sz w:val="20"/>
                <w:szCs w:val="20"/>
              </w:rPr>
              <w:t>EQUITABLE TREATMENT OF SHAREHOLDERS</w:t>
            </w:r>
          </w:p>
        </w:tc>
        <w:tc>
          <w:tcPr>
            <w:tcW w:w="4252" w:type="dxa"/>
            <w:shd w:val="clear" w:color="auto" w:fill="FFC000"/>
          </w:tcPr>
          <w:p w:rsidR="00DD686F" w:rsidRDefault="00DD686F" w:rsidP="009D6348">
            <w:pPr>
              <w:jc w:val="center"/>
              <w:rPr>
                <w:b/>
                <w:sz w:val="20"/>
                <w:szCs w:val="20"/>
              </w:rPr>
            </w:pPr>
            <w:r>
              <w:rPr>
                <w:b/>
                <w:sz w:val="20"/>
                <w:szCs w:val="20"/>
              </w:rPr>
              <w:t>APPLICABLE PRINCIPLE</w:t>
            </w:r>
          </w:p>
        </w:tc>
        <w:tc>
          <w:tcPr>
            <w:tcW w:w="1087" w:type="dxa"/>
            <w:shd w:val="clear" w:color="auto" w:fill="FFC000"/>
          </w:tcPr>
          <w:p w:rsidR="00DD686F" w:rsidRDefault="00DD686F" w:rsidP="009D6348">
            <w:pPr>
              <w:jc w:val="center"/>
              <w:rPr>
                <w:b/>
                <w:sz w:val="20"/>
                <w:szCs w:val="20"/>
              </w:rPr>
            </w:pPr>
            <w:r>
              <w:rPr>
                <w:b/>
                <w:sz w:val="20"/>
                <w:szCs w:val="20"/>
              </w:rPr>
              <w:t>RESPONSE</w:t>
            </w:r>
          </w:p>
        </w:tc>
        <w:tc>
          <w:tcPr>
            <w:tcW w:w="4215" w:type="dxa"/>
            <w:shd w:val="clear" w:color="auto" w:fill="FFC000"/>
          </w:tcPr>
          <w:p w:rsidR="00DD686F" w:rsidRDefault="00DD686F" w:rsidP="009D6348">
            <w:pPr>
              <w:jc w:val="center"/>
              <w:rPr>
                <w:b/>
                <w:sz w:val="20"/>
                <w:szCs w:val="20"/>
              </w:rPr>
            </w:pPr>
            <w:r>
              <w:rPr>
                <w:b/>
                <w:sz w:val="20"/>
                <w:szCs w:val="20"/>
              </w:rPr>
              <w:t>REFERENCE/SOURCE DOCUMENT</w:t>
            </w:r>
          </w:p>
        </w:tc>
      </w:tr>
      <w:tr w:rsidR="00DD686F" w:rsidTr="009D6348">
        <w:tc>
          <w:tcPr>
            <w:tcW w:w="15400" w:type="dxa"/>
            <w:gridSpan w:val="5"/>
            <w:shd w:val="clear" w:color="auto" w:fill="FFCC99"/>
          </w:tcPr>
          <w:p w:rsidR="00DD686F" w:rsidRPr="00741731" w:rsidRDefault="00DD686F" w:rsidP="009D6348">
            <w:pPr>
              <w:rPr>
                <w:b/>
                <w:sz w:val="20"/>
                <w:szCs w:val="20"/>
              </w:rPr>
            </w:pPr>
            <w:r>
              <w:rPr>
                <w:b/>
                <w:sz w:val="20"/>
                <w:szCs w:val="20"/>
              </w:rPr>
              <w:t xml:space="preserve">B.1 </w:t>
            </w:r>
            <w:r>
              <w:rPr>
                <w:rFonts w:ascii="Calibri" w:hAnsi="Calibri"/>
                <w:b/>
                <w:bCs/>
                <w:sz w:val="20"/>
                <w:szCs w:val="20"/>
              </w:rPr>
              <w:t>Insider trading and abusive self-dealing should be prohibited.</w:t>
            </w:r>
          </w:p>
        </w:tc>
      </w:tr>
      <w:tr w:rsidR="00DD686F" w:rsidTr="009D6348">
        <w:trPr>
          <w:trHeight w:val="879"/>
        </w:trPr>
        <w:tc>
          <w:tcPr>
            <w:tcW w:w="1098" w:type="dxa"/>
          </w:tcPr>
          <w:p w:rsidR="00DD686F" w:rsidRDefault="00DD686F" w:rsidP="009D6348">
            <w:pPr>
              <w:rPr>
                <w:rFonts w:ascii="Calibri" w:hAnsi="Calibri"/>
                <w:sz w:val="20"/>
                <w:szCs w:val="20"/>
              </w:rPr>
            </w:pPr>
            <w:r>
              <w:rPr>
                <w:rFonts w:ascii="Calibri" w:hAnsi="Calibri"/>
                <w:sz w:val="20"/>
                <w:szCs w:val="20"/>
              </w:rPr>
              <w:t>B.1.1(P)</w:t>
            </w:r>
          </w:p>
        </w:tc>
        <w:tc>
          <w:tcPr>
            <w:tcW w:w="4748" w:type="dxa"/>
          </w:tcPr>
          <w:p w:rsidR="00DD686F" w:rsidRDefault="00DD686F" w:rsidP="009D6348">
            <w:pPr>
              <w:rPr>
                <w:rFonts w:ascii="Calibri" w:hAnsi="Calibri"/>
                <w:sz w:val="20"/>
                <w:szCs w:val="20"/>
              </w:rPr>
            </w:pPr>
            <w:r>
              <w:rPr>
                <w:rFonts w:ascii="Calibri" w:hAnsi="Calibri"/>
                <w:sz w:val="20"/>
                <w:szCs w:val="20"/>
              </w:rPr>
              <w:t>Has there been any conviction of insider trading involving directors/commissioners, management and employees in the past three years?</w:t>
            </w:r>
          </w:p>
        </w:tc>
        <w:tc>
          <w:tcPr>
            <w:tcW w:w="4252" w:type="dxa"/>
          </w:tcPr>
          <w:p w:rsidR="00DD686F" w:rsidRDefault="00DD686F" w:rsidP="009D6348">
            <w:pPr>
              <w:rPr>
                <w:rFonts w:ascii="Calibri" w:hAnsi="Calibri"/>
                <w:sz w:val="20"/>
                <w:szCs w:val="20"/>
              </w:rPr>
            </w:pPr>
            <w:r>
              <w:rPr>
                <w:rFonts w:ascii="Calibri" w:hAnsi="Calibri"/>
                <w:b/>
                <w:bCs/>
                <w:sz w:val="20"/>
                <w:szCs w:val="20"/>
              </w:rPr>
              <w:t xml:space="preserve">OECD Principle III: The Equitable Treatment of Shareholders </w:t>
            </w:r>
            <w:r>
              <w:rPr>
                <w:rFonts w:ascii="Calibri" w:hAnsi="Calibri"/>
                <w:sz w:val="20"/>
                <w:szCs w:val="20"/>
              </w:rPr>
              <w:br/>
              <w:t>(B) Insider trading and abusive dealing should be prohibited.</w:t>
            </w:r>
            <w:r>
              <w:rPr>
                <w:rFonts w:ascii="Calibri" w:hAnsi="Calibri"/>
                <w:sz w:val="20"/>
                <w:szCs w:val="20"/>
              </w:rPr>
              <w:br/>
            </w:r>
            <w:r>
              <w:rPr>
                <w:rFonts w:ascii="Calibri" w:hAnsi="Calibri"/>
                <w:sz w:val="20"/>
                <w:szCs w:val="20"/>
              </w:rPr>
              <w:br/>
            </w:r>
            <w:r>
              <w:rPr>
                <w:rFonts w:ascii="Calibri" w:hAnsi="Calibri"/>
                <w:b/>
                <w:bCs/>
                <w:sz w:val="20"/>
                <w:szCs w:val="20"/>
              </w:rPr>
              <w:t>ICGN 3.5 Employee share dealing</w:t>
            </w:r>
            <w:r>
              <w:rPr>
                <w:rFonts w:ascii="Calibri" w:hAnsi="Calibri"/>
                <w:b/>
                <w:bCs/>
                <w:sz w:val="20"/>
                <w:szCs w:val="20"/>
              </w:rPr>
              <w:br/>
            </w:r>
            <w:r>
              <w:rPr>
                <w:rFonts w:ascii="Calibri" w:hAnsi="Calibri"/>
                <w:sz w:val="20"/>
                <w:szCs w:val="20"/>
              </w:rPr>
              <w:t>Companies should have clear rules regarding any trading by directors and employees in the company's own securities. Among other issues, these must seek to ensure individuals do not benefit from knowledge which is not generally available to the market.</w:t>
            </w:r>
            <w:r>
              <w:rPr>
                <w:rFonts w:ascii="Calibri" w:hAnsi="Calibri"/>
                <w:sz w:val="20"/>
                <w:szCs w:val="20"/>
              </w:rPr>
              <w:br/>
            </w:r>
            <w:r>
              <w:rPr>
                <w:rFonts w:ascii="Calibri" w:hAnsi="Calibri"/>
                <w:sz w:val="20"/>
                <w:szCs w:val="20"/>
              </w:rPr>
              <w:br/>
            </w:r>
            <w:r>
              <w:rPr>
                <w:rFonts w:ascii="Calibri" w:hAnsi="Calibri"/>
                <w:b/>
                <w:bCs/>
                <w:sz w:val="20"/>
                <w:szCs w:val="20"/>
              </w:rPr>
              <w:t>ICGN 8.5 Shareholder rights of action</w:t>
            </w:r>
            <w:r>
              <w:rPr>
                <w:rFonts w:ascii="Calibri" w:hAnsi="Calibri"/>
                <w:b/>
                <w:bCs/>
                <w:sz w:val="20"/>
                <w:szCs w:val="20"/>
              </w:rPr>
              <w:br/>
            </w:r>
            <w:r>
              <w:rPr>
                <w:rFonts w:ascii="Calibri" w:hAnsi="Calibri"/>
                <w:sz w:val="20"/>
                <w:szCs w:val="20"/>
              </w:rPr>
              <w:t>... Minority shareholders should be afforded protection and remedies against abusive or oppressive conduct.</w:t>
            </w:r>
          </w:p>
        </w:tc>
        <w:tc>
          <w:tcPr>
            <w:tcW w:w="1087"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r>
              <w:rPr>
                <w:b/>
                <w:sz w:val="20"/>
                <w:szCs w:val="20"/>
              </w:rPr>
              <w:t>There has been no conviction of insider trading involving the directors/commissioners, management and employees for the past 3 years.</w:t>
            </w:r>
          </w:p>
        </w:tc>
      </w:tr>
      <w:tr w:rsidR="00DD686F" w:rsidTr="009D6348">
        <w:tc>
          <w:tcPr>
            <w:tcW w:w="15400" w:type="dxa"/>
            <w:gridSpan w:val="5"/>
            <w:shd w:val="clear" w:color="auto" w:fill="FFCC99"/>
          </w:tcPr>
          <w:p w:rsidR="00DD686F" w:rsidRPr="00741731" w:rsidRDefault="00DD686F" w:rsidP="009D6348">
            <w:pPr>
              <w:rPr>
                <w:rFonts w:ascii="Calibri" w:hAnsi="Calibri"/>
                <w:b/>
                <w:bCs/>
                <w:sz w:val="20"/>
                <w:szCs w:val="20"/>
              </w:rPr>
            </w:pPr>
            <w:r>
              <w:rPr>
                <w:b/>
                <w:sz w:val="20"/>
                <w:szCs w:val="20"/>
              </w:rPr>
              <w:t xml:space="preserve">B.2 </w:t>
            </w:r>
            <w:r>
              <w:rPr>
                <w:rFonts w:ascii="Calibri" w:hAnsi="Calibri"/>
                <w:b/>
                <w:bCs/>
                <w:sz w:val="20"/>
                <w:szCs w:val="20"/>
              </w:rPr>
              <w:t>Protecting minority shareholders from abusive action</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B.2.1(P)</w:t>
            </w:r>
          </w:p>
        </w:tc>
        <w:tc>
          <w:tcPr>
            <w:tcW w:w="4748" w:type="dxa"/>
          </w:tcPr>
          <w:p w:rsidR="00DD686F" w:rsidRDefault="00DD686F" w:rsidP="009D6348">
            <w:pPr>
              <w:rPr>
                <w:rFonts w:ascii="Calibri" w:hAnsi="Calibri"/>
                <w:sz w:val="20"/>
                <w:szCs w:val="20"/>
              </w:rPr>
            </w:pPr>
            <w:r>
              <w:rPr>
                <w:rFonts w:ascii="Calibri" w:hAnsi="Calibri"/>
                <w:sz w:val="20"/>
                <w:szCs w:val="20"/>
              </w:rPr>
              <w:t>Has there been any cases of non compliance with the laws, rules and regulations pertaining to significant or material related party transactions in the past three years?</w:t>
            </w:r>
          </w:p>
        </w:tc>
        <w:tc>
          <w:tcPr>
            <w:tcW w:w="4252" w:type="dxa"/>
          </w:tcPr>
          <w:p w:rsidR="00DD686F" w:rsidRDefault="00DD686F" w:rsidP="009D6348">
            <w:pPr>
              <w:rPr>
                <w:rFonts w:ascii="Calibri" w:hAnsi="Calibri"/>
                <w:sz w:val="20"/>
                <w:szCs w:val="20"/>
              </w:rPr>
            </w:pPr>
            <w:r>
              <w:rPr>
                <w:rFonts w:ascii="Calibri" w:hAnsi="Calibri"/>
                <w:b/>
                <w:bCs/>
                <w:sz w:val="20"/>
                <w:szCs w:val="20"/>
              </w:rPr>
              <w:t xml:space="preserve">OECD Principle III </w:t>
            </w:r>
            <w:r>
              <w:rPr>
                <w:rFonts w:ascii="Calibri" w:hAnsi="Calibri"/>
                <w:sz w:val="20"/>
                <w:szCs w:val="20"/>
              </w:rPr>
              <w:br/>
              <w:t>(B) Insider trading and abusive dealing should be prohibited</w:t>
            </w:r>
            <w:r>
              <w:rPr>
                <w:rFonts w:ascii="Calibri" w:hAnsi="Calibri"/>
                <w:sz w:val="20"/>
                <w:szCs w:val="20"/>
              </w:rPr>
              <w:br/>
            </w:r>
            <w:r>
              <w:rPr>
                <w:rFonts w:ascii="Calibri" w:hAnsi="Calibri"/>
                <w:sz w:val="20"/>
                <w:szCs w:val="20"/>
              </w:rPr>
              <w:br/>
            </w:r>
            <w:r>
              <w:rPr>
                <w:rFonts w:ascii="Calibri" w:hAnsi="Calibri"/>
                <w:b/>
                <w:bCs/>
                <w:sz w:val="20"/>
                <w:szCs w:val="20"/>
              </w:rPr>
              <w:t>ICGN 2.11.1 Related party transactions</w:t>
            </w:r>
            <w:r>
              <w:rPr>
                <w:rFonts w:ascii="Calibri" w:hAnsi="Calibri"/>
                <w:b/>
                <w:bCs/>
                <w:sz w:val="20"/>
                <w:szCs w:val="20"/>
              </w:rPr>
              <w:br/>
            </w:r>
            <w:r>
              <w:rPr>
                <w:rFonts w:ascii="Calibri" w:hAnsi="Calibri"/>
                <w:sz w:val="20"/>
                <w:szCs w:val="20"/>
              </w:rPr>
              <w:t xml:space="preserve">Companies should have a process for reviewing and monitoring any related party transaction. A committee of independent directors should review significant related party transactions to determine whether they are in the best interests of the company and if so to determine what terms are fair. </w:t>
            </w:r>
            <w:r>
              <w:rPr>
                <w:rFonts w:ascii="Calibri" w:hAnsi="Calibri"/>
                <w:sz w:val="20"/>
                <w:szCs w:val="20"/>
              </w:rPr>
              <w:br/>
            </w:r>
            <w:r>
              <w:rPr>
                <w:rFonts w:ascii="Calibri" w:hAnsi="Calibri"/>
                <w:sz w:val="20"/>
                <w:szCs w:val="20"/>
              </w:rPr>
              <w:br/>
            </w:r>
            <w:r>
              <w:rPr>
                <w:rFonts w:ascii="Calibri" w:hAnsi="Calibri"/>
                <w:b/>
                <w:bCs/>
                <w:sz w:val="20"/>
                <w:szCs w:val="20"/>
              </w:rPr>
              <w:t>ICGN 2.11.2 Director conflicts of interest</w:t>
            </w:r>
            <w:r>
              <w:rPr>
                <w:rFonts w:ascii="Calibri" w:hAnsi="Calibri"/>
                <w:b/>
                <w:bCs/>
                <w:sz w:val="20"/>
                <w:szCs w:val="20"/>
              </w:rPr>
              <w:br/>
            </w:r>
            <w:r>
              <w:rPr>
                <w:rFonts w:ascii="Calibri" w:hAnsi="Calibri"/>
                <w:sz w:val="20"/>
                <w:szCs w:val="20"/>
              </w:rPr>
              <w:t xml:space="preserve">Companies should have a process for identifying and managing any conflicts of interest directors may have. If a director has </w:t>
            </w:r>
            <w:r>
              <w:rPr>
                <w:rFonts w:ascii="Calibri" w:hAnsi="Calibri"/>
                <w:sz w:val="20"/>
                <w:szCs w:val="20"/>
              </w:rPr>
              <w:lastRenderedPageBreak/>
              <w:t>an interest in a matter under consideration by the board, then the director should not participate in those discussions and the board should follow any further appropriate processes. Individual directors should be conscious of shareholder and public perceptions and seek to avoid situations where there might be an appearance of a conflict of interest.</w:t>
            </w:r>
            <w:r>
              <w:rPr>
                <w:rFonts w:ascii="Calibri" w:hAnsi="Calibri"/>
                <w:sz w:val="20"/>
                <w:szCs w:val="20"/>
              </w:rPr>
              <w:br/>
            </w:r>
            <w:r>
              <w:rPr>
                <w:rFonts w:ascii="Calibri" w:hAnsi="Calibri"/>
                <w:sz w:val="20"/>
                <w:szCs w:val="20"/>
              </w:rPr>
              <w:br/>
            </w:r>
            <w:r>
              <w:rPr>
                <w:rFonts w:ascii="Calibri" w:hAnsi="Calibri"/>
                <w:b/>
                <w:bCs/>
                <w:sz w:val="20"/>
                <w:szCs w:val="20"/>
              </w:rPr>
              <w:t>ICGN 8.5 Shareholder rights of action</w:t>
            </w:r>
            <w:r>
              <w:rPr>
                <w:rFonts w:ascii="Calibri" w:hAnsi="Calibri"/>
                <w:b/>
                <w:bCs/>
                <w:sz w:val="20"/>
                <w:szCs w:val="20"/>
              </w:rPr>
              <w:br/>
            </w:r>
            <w:r>
              <w:rPr>
                <w:rFonts w:ascii="Calibri" w:hAnsi="Calibri"/>
                <w:sz w:val="20"/>
                <w:szCs w:val="20"/>
              </w:rPr>
              <w:t>Shareholders should be afforded rights of action and remedies which are readily accessible in order to redress conduct of company which treats them inequitably. Minority shareholders should be afforded protection and remedies against abusive or oppressive conduct.</w:t>
            </w:r>
          </w:p>
        </w:tc>
        <w:tc>
          <w:tcPr>
            <w:tcW w:w="1087" w:type="dxa"/>
          </w:tcPr>
          <w:p w:rsidR="00DD686F" w:rsidRDefault="00DD686F" w:rsidP="009D6348">
            <w:pPr>
              <w:jc w:val="center"/>
              <w:rPr>
                <w:b/>
                <w:sz w:val="20"/>
                <w:szCs w:val="20"/>
              </w:rPr>
            </w:pPr>
            <w:r>
              <w:rPr>
                <w:b/>
                <w:sz w:val="20"/>
                <w:szCs w:val="20"/>
              </w:rPr>
              <w:lastRenderedPageBreak/>
              <w:t>N</w:t>
            </w:r>
          </w:p>
        </w:tc>
        <w:tc>
          <w:tcPr>
            <w:tcW w:w="4215" w:type="dxa"/>
          </w:tcPr>
          <w:p w:rsidR="00DD686F" w:rsidRDefault="00DD686F" w:rsidP="009D6348">
            <w:pPr>
              <w:rPr>
                <w:b/>
                <w:sz w:val="20"/>
                <w:szCs w:val="20"/>
              </w:rPr>
            </w:pPr>
            <w:r>
              <w:rPr>
                <w:b/>
                <w:sz w:val="20"/>
                <w:szCs w:val="20"/>
              </w:rPr>
              <w:t>There has been no case of non-compliance pertaining to significant or material related party transactions in the past 3 years.</w:t>
            </w:r>
          </w:p>
        </w:tc>
      </w:tr>
    </w:tbl>
    <w:p w:rsidR="00DD686F" w:rsidRDefault="00DD686F" w:rsidP="00DD686F">
      <w:pPr>
        <w:spacing w:after="0" w:line="240" w:lineRule="auto"/>
      </w:pPr>
    </w:p>
    <w:tbl>
      <w:tblPr>
        <w:tblStyle w:val="TableGrid"/>
        <w:tblW w:w="0" w:type="auto"/>
        <w:tblInd w:w="108" w:type="dxa"/>
        <w:tblLook w:val="04A0"/>
      </w:tblPr>
      <w:tblGrid>
        <w:gridCol w:w="1072"/>
        <w:gridCol w:w="4469"/>
        <w:gridCol w:w="3919"/>
        <w:gridCol w:w="1087"/>
        <w:gridCol w:w="3961"/>
      </w:tblGrid>
      <w:tr w:rsidR="00DD686F" w:rsidTr="009D6348">
        <w:tc>
          <w:tcPr>
            <w:tcW w:w="1098" w:type="dxa"/>
            <w:shd w:val="clear" w:color="auto" w:fill="FFC000"/>
          </w:tcPr>
          <w:p w:rsidR="00DD686F" w:rsidRDefault="00DD686F" w:rsidP="009D6348">
            <w:pPr>
              <w:jc w:val="center"/>
              <w:rPr>
                <w:b/>
                <w:sz w:val="20"/>
                <w:szCs w:val="20"/>
              </w:rPr>
            </w:pPr>
            <w:r>
              <w:rPr>
                <w:b/>
                <w:sz w:val="20"/>
                <w:szCs w:val="20"/>
              </w:rPr>
              <w:t>ITEM No.</w:t>
            </w:r>
          </w:p>
        </w:tc>
        <w:tc>
          <w:tcPr>
            <w:tcW w:w="4748" w:type="dxa"/>
            <w:shd w:val="clear" w:color="auto" w:fill="FFC000"/>
          </w:tcPr>
          <w:p w:rsidR="00DD686F" w:rsidRDefault="00DD686F" w:rsidP="009D6348">
            <w:pPr>
              <w:jc w:val="center"/>
              <w:rPr>
                <w:b/>
                <w:sz w:val="20"/>
                <w:szCs w:val="20"/>
              </w:rPr>
            </w:pPr>
            <w:r>
              <w:rPr>
                <w:b/>
                <w:sz w:val="20"/>
                <w:szCs w:val="20"/>
              </w:rPr>
              <w:t>ROLE OF STAKEHOLDERS</w:t>
            </w:r>
          </w:p>
        </w:tc>
        <w:tc>
          <w:tcPr>
            <w:tcW w:w="4252" w:type="dxa"/>
            <w:shd w:val="clear" w:color="auto" w:fill="FFC000"/>
          </w:tcPr>
          <w:p w:rsidR="00DD686F" w:rsidRDefault="00DD686F" w:rsidP="009D6348">
            <w:pPr>
              <w:jc w:val="center"/>
              <w:rPr>
                <w:b/>
                <w:sz w:val="20"/>
                <w:szCs w:val="20"/>
              </w:rPr>
            </w:pPr>
            <w:r>
              <w:rPr>
                <w:b/>
                <w:sz w:val="20"/>
                <w:szCs w:val="20"/>
              </w:rPr>
              <w:t>APPLICABLE PRINCIPLE</w:t>
            </w:r>
          </w:p>
        </w:tc>
        <w:tc>
          <w:tcPr>
            <w:tcW w:w="1087" w:type="dxa"/>
            <w:shd w:val="clear" w:color="auto" w:fill="FFC000"/>
          </w:tcPr>
          <w:p w:rsidR="00DD686F" w:rsidRDefault="00DD686F" w:rsidP="009D6348">
            <w:pPr>
              <w:jc w:val="center"/>
              <w:rPr>
                <w:b/>
                <w:sz w:val="20"/>
                <w:szCs w:val="20"/>
              </w:rPr>
            </w:pPr>
            <w:r>
              <w:rPr>
                <w:b/>
                <w:sz w:val="20"/>
                <w:szCs w:val="20"/>
              </w:rPr>
              <w:t>RESPONSE</w:t>
            </w:r>
          </w:p>
        </w:tc>
        <w:tc>
          <w:tcPr>
            <w:tcW w:w="4215" w:type="dxa"/>
            <w:shd w:val="clear" w:color="auto" w:fill="FFC000"/>
          </w:tcPr>
          <w:p w:rsidR="00DD686F" w:rsidRDefault="00DD686F" w:rsidP="009D6348">
            <w:pPr>
              <w:jc w:val="center"/>
              <w:rPr>
                <w:b/>
                <w:sz w:val="20"/>
                <w:szCs w:val="20"/>
              </w:rPr>
            </w:pPr>
            <w:r>
              <w:rPr>
                <w:b/>
                <w:sz w:val="20"/>
                <w:szCs w:val="20"/>
              </w:rPr>
              <w:t>REFERENCE/SOURCE DOCUMENT</w:t>
            </w:r>
          </w:p>
        </w:tc>
      </w:tr>
      <w:tr w:rsidR="00DD686F" w:rsidTr="009D6348">
        <w:tc>
          <w:tcPr>
            <w:tcW w:w="15400" w:type="dxa"/>
            <w:gridSpan w:val="5"/>
            <w:shd w:val="clear" w:color="auto" w:fill="FFCC99"/>
          </w:tcPr>
          <w:p w:rsidR="00DD686F" w:rsidRPr="00741731" w:rsidRDefault="00DD686F" w:rsidP="009D6348">
            <w:pPr>
              <w:rPr>
                <w:rFonts w:ascii="Calibri" w:hAnsi="Calibri"/>
                <w:b/>
                <w:bCs/>
                <w:sz w:val="20"/>
                <w:szCs w:val="20"/>
              </w:rPr>
            </w:pPr>
            <w:r>
              <w:rPr>
                <w:b/>
                <w:sz w:val="20"/>
                <w:szCs w:val="20"/>
              </w:rPr>
              <w:t xml:space="preserve">C.1 </w:t>
            </w:r>
            <w:r>
              <w:rPr>
                <w:rFonts w:ascii="Calibri" w:hAnsi="Calibri"/>
                <w:b/>
                <w:bCs/>
                <w:sz w:val="20"/>
                <w:szCs w:val="20"/>
              </w:rPr>
              <w:t>The rights of stakeholders that are established by law or through mutual agreements are to be respected.</w:t>
            </w:r>
          </w:p>
        </w:tc>
      </w:tr>
      <w:tr w:rsidR="00DD686F" w:rsidTr="009D6348">
        <w:trPr>
          <w:trHeight w:val="879"/>
        </w:trPr>
        <w:tc>
          <w:tcPr>
            <w:tcW w:w="1098" w:type="dxa"/>
          </w:tcPr>
          <w:p w:rsidR="00DD686F" w:rsidRDefault="00DD686F" w:rsidP="009D6348">
            <w:pPr>
              <w:rPr>
                <w:rFonts w:ascii="Calibri" w:hAnsi="Calibri"/>
                <w:b/>
                <w:bCs/>
                <w:sz w:val="20"/>
                <w:szCs w:val="20"/>
              </w:rPr>
            </w:pPr>
            <w:r>
              <w:rPr>
                <w:rFonts w:ascii="Calibri" w:hAnsi="Calibri"/>
                <w:b/>
                <w:bCs/>
                <w:sz w:val="20"/>
                <w:szCs w:val="20"/>
              </w:rPr>
              <w:t>C.1.1(P)</w:t>
            </w:r>
          </w:p>
        </w:tc>
        <w:tc>
          <w:tcPr>
            <w:tcW w:w="4748" w:type="dxa"/>
          </w:tcPr>
          <w:p w:rsidR="00DD686F" w:rsidRDefault="00DD686F" w:rsidP="009D6348">
            <w:pPr>
              <w:rPr>
                <w:rFonts w:ascii="Calibri" w:hAnsi="Calibri"/>
                <w:sz w:val="20"/>
                <w:szCs w:val="20"/>
              </w:rPr>
            </w:pPr>
            <w:r>
              <w:rPr>
                <w:rFonts w:ascii="Calibri" w:hAnsi="Calibri"/>
                <w:sz w:val="20"/>
                <w:szCs w:val="20"/>
              </w:rPr>
              <w:t xml:space="preserve">Have there been any violations of any laws pertaining to </w:t>
            </w:r>
            <w:proofErr w:type="spellStart"/>
            <w:r>
              <w:rPr>
                <w:rFonts w:ascii="Calibri" w:hAnsi="Calibri"/>
                <w:sz w:val="20"/>
                <w:szCs w:val="20"/>
              </w:rPr>
              <w:t>labour</w:t>
            </w:r>
            <w:proofErr w:type="spellEnd"/>
            <w:r>
              <w:rPr>
                <w:rFonts w:ascii="Calibri" w:hAnsi="Calibri"/>
                <w:sz w:val="20"/>
                <w:szCs w:val="20"/>
              </w:rPr>
              <w:t>/employment/ consumer/insolvency/ commercial/competition or environmental issues?</w:t>
            </w:r>
          </w:p>
        </w:tc>
        <w:tc>
          <w:tcPr>
            <w:tcW w:w="4252" w:type="dxa"/>
          </w:tcPr>
          <w:p w:rsidR="00DD686F" w:rsidRDefault="00DD686F" w:rsidP="009D6348">
            <w:pPr>
              <w:rPr>
                <w:rFonts w:ascii="Calibri" w:hAnsi="Calibri"/>
                <w:sz w:val="20"/>
                <w:szCs w:val="20"/>
              </w:rPr>
            </w:pPr>
            <w:r>
              <w:rPr>
                <w:rFonts w:ascii="Calibri" w:hAnsi="Calibri"/>
                <w:b/>
                <w:bCs/>
                <w:sz w:val="20"/>
                <w:szCs w:val="20"/>
              </w:rPr>
              <w:t xml:space="preserve">OECD Principle IV </w:t>
            </w:r>
            <w:r>
              <w:rPr>
                <w:rFonts w:ascii="Calibri" w:hAnsi="Calibri"/>
                <w:sz w:val="20"/>
                <w:szCs w:val="20"/>
              </w:rPr>
              <w:br/>
              <w:t>(A) The rights of stakeholders that are established by law or through mutual agreements are to be respected.</w:t>
            </w:r>
          </w:p>
        </w:tc>
        <w:tc>
          <w:tcPr>
            <w:tcW w:w="1087"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p>
        </w:tc>
      </w:tr>
      <w:tr w:rsidR="00DD686F" w:rsidTr="009D6348">
        <w:tc>
          <w:tcPr>
            <w:tcW w:w="15400" w:type="dxa"/>
            <w:gridSpan w:val="5"/>
            <w:shd w:val="clear" w:color="auto" w:fill="FFCC99"/>
          </w:tcPr>
          <w:p w:rsidR="00DD686F" w:rsidRPr="00741731" w:rsidRDefault="00DD686F" w:rsidP="009D6348">
            <w:pPr>
              <w:rPr>
                <w:rFonts w:ascii="Calibri" w:hAnsi="Calibri"/>
                <w:b/>
                <w:bCs/>
                <w:sz w:val="20"/>
                <w:szCs w:val="20"/>
              </w:rPr>
            </w:pPr>
            <w:r>
              <w:rPr>
                <w:b/>
                <w:sz w:val="20"/>
                <w:szCs w:val="20"/>
              </w:rPr>
              <w:t xml:space="preserve">C.2 </w:t>
            </w:r>
            <w:r>
              <w:rPr>
                <w:rFonts w:ascii="Calibri" w:hAnsi="Calibri"/>
                <w:b/>
                <w:bCs/>
                <w:sz w:val="20"/>
                <w:szCs w:val="20"/>
              </w:rPr>
              <w:t>Where stakeholders participate in the corporate governance process, they should have access to relevant, sufficient and reliable information on a timely and regular basis.</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C.2.1(P)</w:t>
            </w:r>
          </w:p>
        </w:tc>
        <w:tc>
          <w:tcPr>
            <w:tcW w:w="4748" w:type="dxa"/>
          </w:tcPr>
          <w:p w:rsidR="00DD686F" w:rsidRDefault="00DD686F" w:rsidP="009D6348">
            <w:pPr>
              <w:rPr>
                <w:rFonts w:ascii="Calibri" w:hAnsi="Calibri"/>
                <w:sz w:val="20"/>
                <w:szCs w:val="20"/>
              </w:rPr>
            </w:pPr>
            <w:r>
              <w:rPr>
                <w:rFonts w:ascii="Calibri" w:hAnsi="Calibri"/>
                <w:sz w:val="20"/>
                <w:szCs w:val="20"/>
              </w:rPr>
              <w:t>Has the company faced any sanctions by regulators for failure to make announcements within the requisite time period for material events?</w:t>
            </w:r>
          </w:p>
        </w:tc>
        <w:tc>
          <w:tcPr>
            <w:tcW w:w="4252" w:type="dxa"/>
          </w:tcPr>
          <w:p w:rsidR="00DD686F" w:rsidRDefault="00DD686F" w:rsidP="009D6348">
            <w:pPr>
              <w:rPr>
                <w:rFonts w:ascii="Calibri" w:hAnsi="Calibri"/>
                <w:sz w:val="20"/>
                <w:szCs w:val="20"/>
              </w:rPr>
            </w:pPr>
            <w:r>
              <w:rPr>
                <w:rFonts w:ascii="Calibri" w:hAnsi="Calibri"/>
                <w:b/>
                <w:bCs/>
                <w:sz w:val="20"/>
                <w:szCs w:val="20"/>
              </w:rPr>
              <w:t xml:space="preserve">OECD Principle IV </w:t>
            </w:r>
            <w:r>
              <w:rPr>
                <w:rFonts w:ascii="Calibri" w:hAnsi="Calibri"/>
                <w:b/>
                <w:bCs/>
                <w:sz w:val="20"/>
                <w:szCs w:val="20"/>
              </w:rPr>
              <w:br/>
            </w:r>
            <w:r>
              <w:rPr>
                <w:rFonts w:ascii="Calibri" w:hAnsi="Calibri"/>
                <w:sz w:val="20"/>
                <w:szCs w:val="20"/>
              </w:rPr>
              <w:t>(B) Where stakeholders participate in the corporate governance process, they should have access to relevant, sufficient and reliable information on a timely and regular basis.</w:t>
            </w:r>
          </w:p>
        </w:tc>
        <w:tc>
          <w:tcPr>
            <w:tcW w:w="1087"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p>
        </w:tc>
      </w:tr>
    </w:tbl>
    <w:p w:rsidR="00DD686F" w:rsidRDefault="00DD686F" w:rsidP="00DD686F">
      <w:pPr>
        <w:spacing w:after="0" w:line="240" w:lineRule="auto"/>
      </w:pPr>
    </w:p>
    <w:tbl>
      <w:tblPr>
        <w:tblStyle w:val="TableGrid"/>
        <w:tblW w:w="0" w:type="auto"/>
        <w:tblInd w:w="108" w:type="dxa"/>
        <w:tblLook w:val="04A0"/>
      </w:tblPr>
      <w:tblGrid>
        <w:gridCol w:w="1073"/>
        <w:gridCol w:w="4414"/>
        <w:gridCol w:w="3959"/>
        <w:gridCol w:w="1087"/>
        <w:gridCol w:w="3975"/>
      </w:tblGrid>
      <w:tr w:rsidR="00DD686F" w:rsidTr="009D6348">
        <w:tc>
          <w:tcPr>
            <w:tcW w:w="1098" w:type="dxa"/>
            <w:shd w:val="clear" w:color="auto" w:fill="FFC000"/>
          </w:tcPr>
          <w:p w:rsidR="00DD686F" w:rsidRDefault="00DD686F" w:rsidP="009D6348">
            <w:pPr>
              <w:jc w:val="center"/>
              <w:rPr>
                <w:b/>
                <w:sz w:val="20"/>
                <w:szCs w:val="20"/>
              </w:rPr>
            </w:pPr>
            <w:r>
              <w:rPr>
                <w:b/>
                <w:sz w:val="20"/>
                <w:szCs w:val="20"/>
              </w:rPr>
              <w:t>ITEM No.</w:t>
            </w:r>
          </w:p>
        </w:tc>
        <w:tc>
          <w:tcPr>
            <w:tcW w:w="4748" w:type="dxa"/>
            <w:shd w:val="clear" w:color="auto" w:fill="FFC000"/>
          </w:tcPr>
          <w:p w:rsidR="00DD686F" w:rsidRDefault="00DD686F" w:rsidP="009D6348">
            <w:pPr>
              <w:jc w:val="center"/>
              <w:rPr>
                <w:b/>
                <w:sz w:val="20"/>
                <w:szCs w:val="20"/>
              </w:rPr>
            </w:pPr>
            <w:r>
              <w:rPr>
                <w:b/>
                <w:sz w:val="20"/>
                <w:szCs w:val="20"/>
              </w:rPr>
              <w:t>DISCLOSURE AND TRANSPARENCY</w:t>
            </w:r>
          </w:p>
        </w:tc>
        <w:tc>
          <w:tcPr>
            <w:tcW w:w="4252" w:type="dxa"/>
            <w:shd w:val="clear" w:color="auto" w:fill="FFC000"/>
          </w:tcPr>
          <w:p w:rsidR="00DD686F" w:rsidRDefault="00DD686F" w:rsidP="009D6348">
            <w:pPr>
              <w:jc w:val="center"/>
              <w:rPr>
                <w:b/>
                <w:sz w:val="20"/>
                <w:szCs w:val="20"/>
              </w:rPr>
            </w:pPr>
            <w:r>
              <w:rPr>
                <w:b/>
                <w:sz w:val="20"/>
                <w:szCs w:val="20"/>
              </w:rPr>
              <w:t>APPLICABLE PRINCIPLE</w:t>
            </w:r>
          </w:p>
        </w:tc>
        <w:tc>
          <w:tcPr>
            <w:tcW w:w="1087" w:type="dxa"/>
            <w:shd w:val="clear" w:color="auto" w:fill="FFC000"/>
          </w:tcPr>
          <w:p w:rsidR="00DD686F" w:rsidRDefault="00DD686F" w:rsidP="009D6348">
            <w:pPr>
              <w:jc w:val="center"/>
              <w:rPr>
                <w:b/>
                <w:sz w:val="20"/>
                <w:szCs w:val="20"/>
              </w:rPr>
            </w:pPr>
            <w:r>
              <w:rPr>
                <w:b/>
                <w:sz w:val="20"/>
                <w:szCs w:val="20"/>
              </w:rPr>
              <w:t>RESPONSE</w:t>
            </w:r>
          </w:p>
        </w:tc>
        <w:tc>
          <w:tcPr>
            <w:tcW w:w="4215" w:type="dxa"/>
            <w:shd w:val="clear" w:color="auto" w:fill="FFC000"/>
          </w:tcPr>
          <w:p w:rsidR="00DD686F" w:rsidRDefault="00DD686F" w:rsidP="009D6348">
            <w:pPr>
              <w:jc w:val="center"/>
              <w:rPr>
                <w:b/>
                <w:sz w:val="20"/>
                <w:szCs w:val="20"/>
              </w:rPr>
            </w:pPr>
            <w:r>
              <w:rPr>
                <w:b/>
                <w:sz w:val="20"/>
                <w:szCs w:val="20"/>
              </w:rPr>
              <w:t>REFERENCE/SOURCE DOCUMENT</w:t>
            </w:r>
          </w:p>
        </w:tc>
      </w:tr>
      <w:tr w:rsidR="00DD686F" w:rsidTr="009D6348">
        <w:tc>
          <w:tcPr>
            <w:tcW w:w="15400" w:type="dxa"/>
            <w:gridSpan w:val="5"/>
            <w:shd w:val="clear" w:color="auto" w:fill="FFCC99"/>
          </w:tcPr>
          <w:p w:rsidR="00DD686F" w:rsidRPr="00741731" w:rsidRDefault="00DD686F" w:rsidP="009D6348">
            <w:pPr>
              <w:rPr>
                <w:rFonts w:ascii="Calibri" w:hAnsi="Calibri"/>
                <w:b/>
                <w:bCs/>
                <w:sz w:val="20"/>
                <w:szCs w:val="20"/>
              </w:rPr>
            </w:pPr>
            <w:r>
              <w:rPr>
                <w:b/>
                <w:sz w:val="20"/>
                <w:szCs w:val="20"/>
              </w:rPr>
              <w:t xml:space="preserve">D.1 </w:t>
            </w:r>
            <w:r>
              <w:rPr>
                <w:rFonts w:ascii="Calibri" w:hAnsi="Calibri"/>
                <w:b/>
                <w:bCs/>
                <w:sz w:val="20"/>
                <w:szCs w:val="20"/>
              </w:rPr>
              <w:t>Sanctions from regulator on financial reports</w:t>
            </w:r>
          </w:p>
        </w:tc>
      </w:tr>
      <w:tr w:rsidR="00DD686F" w:rsidTr="009D6348">
        <w:tc>
          <w:tcPr>
            <w:tcW w:w="1098" w:type="dxa"/>
            <w:shd w:val="clear" w:color="auto" w:fill="FFFFFF" w:themeFill="background1"/>
          </w:tcPr>
          <w:p w:rsidR="00DD686F" w:rsidRDefault="00DD686F" w:rsidP="009D6348">
            <w:pPr>
              <w:rPr>
                <w:rFonts w:ascii="Calibri" w:hAnsi="Calibri"/>
                <w:sz w:val="20"/>
                <w:szCs w:val="20"/>
              </w:rPr>
            </w:pPr>
            <w:r>
              <w:rPr>
                <w:rFonts w:ascii="Calibri" w:hAnsi="Calibri"/>
                <w:sz w:val="20"/>
                <w:szCs w:val="20"/>
              </w:rPr>
              <w:t>D.1.1(P)</w:t>
            </w:r>
          </w:p>
        </w:tc>
        <w:tc>
          <w:tcPr>
            <w:tcW w:w="4748" w:type="dxa"/>
            <w:shd w:val="clear" w:color="auto" w:fill="FFFFFF" w:themeFill="background1"/>
          </w:tcPr>
          <w:p w:rsidR="00DD686F" w:rsidRPr="00CB288C" w:rsidRDefault="00DD686F" w:rsidP="009D6348">
            <w:pPr>
              <w:rPr>
                <w:rFonts w:ascii="Calibri" w:hAnsi="Calibri"/>
                <w:sz w:val="20"/>
                <w:szCs w:val="20"/>
              </w:rPr>
            </w:pPr>
            <w:r w:rsidRPr="00CB288C">
              <w:rPr>
                <w:rFonts w:ascii="Calibri" w:hAnsi="Calibri"/>
                <w:sz w:val="20"/>
                <w:szCs w:val="20"/>
              </w:rPr>
              <w:t>Did the company receive a "qualified opinion" in its external audit report?</w:t>
            </w:r>
          </w:p>
        </w:tc>
        <w:tc>
          <w:tcPr>
            <w:tcW w:w="4252" w:type="dxa"/>
            <w:vMerge w:val="restart"/>
            <w:shd w:val="clear" w:color="auto" w:fill="FFFFFF" w:themeFill="background1"/>
          </w:tcPr>
          <w:p w:rsidR="00DD686F" w:rsidRDefault="00DD686F" w:rsidP="009D6348">
            <w:pPr>
              <w:rPr>
                <w:rFonts w:ascii="Calibri" w:hAnsi="Calibri"/>
                <w:sz w:val="20"/>
                <w:szCs w:val="20"/>
              </w:rPr>
            </w:pPr>
            <w:r>
              <w:rPr>
                <w:rFonts w:ascii="Calibri" w:hAnsi="Calibri"/>
                <w:b/>
                <w:bCs/>
                <w:sz w:val="20"/>
                <w:szCs w:val="20"/>
              </w:rPr>
              <w:t xml:space="preserve">OECD Principle V: Disclosure and Transparency </w:t>
            </w:r>
            <w:r>
              <w:rPr>
                <w:rFonts w:ascii="Calibri" w:hAnsi="Calibri"/>
                <w:sz w:val="20"/>
                <w:szCs w:val="20"/>
              </w:rPr>
              <w:br/>
              <w:t>(B) Information should be prepared and disclosed in accordance with high quality standards of accounting and financial and non-financial disclosures.</w:t>
            </w:r>
            <w:r>
              <w:rPr>
                <w:rFonts w:ascii="Calibri" w:hAnsi="Calibri"/>
                <w:sz w:val="20"/>
                <w:szCs w:val="20"/>
              </w:rPr>
              <w:br/>
            </w:r>
            <w:r>
              <w:rPr>
                <w:rFonts w:ascii="Calibri" w:hAnsi="Calibri"/>
                <w:sz w:val="20"/>
                <w:szCs w:val="20"/>
              </w:rPr>
              <w:lastRenderedPageBreak/>
              <w:t>(C) An annual audit should be conducted by an independent, competent and qualified, auditor in order to provide an external and objective assurance to the board and shareholders that the financial statements fairly represent the financial position and performance of the company in all material respects.</w:t>
            </w:r>
            <w:r>
              <w:rPr>
                <w:rFonts w:ascii="Calibri" w:hAnsi="Calibri"/>
                <w:sz w:val="20"/>
                <w:szCs w:val="20"/>
              </w:rPr>
              <w:br/>
              <w:t>(D) External auditors should be accountable to the shareholders and owe a duty to the company to exercise due professional care in the conduct of the audit.</w:t>
            </w:r>
            <w:r>
              <w:rPr>
                <w:rFonts w:ascii="Calibri" w:hAnsi="Calibri"/>
                <w:sz w:val="20"/>
                <w:szCs w:val="20"/>
              </w:rPr>
              <w:br/>
            </w:r>
            <w:r>
              <w:rPr>
                <w:rFonts w:ascii="Calibri" w:hAnsi="Calibri"/>
                <w:sz w:val="20"/>
                <w:szCs w:val="20"/>
              </w:rPr>
              <w:br/>
            </w:r>
            <w:r>
              <w:rPr>
                <w:rFonts w:ascii="Calibri" w:hAnsi="Calibri"/>
                <w:b/>
                <w:bCs/>
                <w:sz w:val="20"/>
                <w:szCs w:val="20"/>
              </w:rPr>
              <w:t xml:space="preserve">ICGN 6.2 Annual </w:t>
            </w:r>
            <w:proofErr w:type="gramStart"/>
            <w:r>
              <w:rPr>
                <w:rFonts w:ascii="Calibri" w:hAnsi="Calibri"/>
                <w:b/>
                <w:bCs/>
                <w:sz w:val="20"/>
                <w:szCs w:val="20"/>
              </w:rPr>
              <w:t>audit</w:t>
            </w:r>
            <w:proofErr w:type="gramEnd"/>
            <w:r>
              <w:rPr>
                <w:rFonts w:ascii="Calibri" w:hAnsi="Calibri"/>
                <w:b/>
                <w:bCs/>
                <w:sz w:val="20"/>
                <w:szCs w:val="20"/>
              </w:rPr>
              <w:br/>
            </w:r>
            <w:r>
              <w:rPr>
                <w:rFonts w:ascii="Calibri" w:hAnsi="Calibri"/>
                <w:sz w:val="20"/>
                <w:szCs w:val="20"/>
              </w:rPr>
              <w:t>The annual audit carried out on behalf of shareholders is an essential part of the checks and balances required at a company. It should provide an independent and objective opinion that the financial statements fairly represent the financial position and performance of the company in all material respects, give a true and fair view of the affairs of the company and are in compliance with applicable laws and regulations.</w:t>
            </w:r>
            <w:r>
              <w:rPr>
                <w:rFonts w:ascii="Calibri" w:hAnsi="Calibri"/>
                <w:sz w:val="20"/>
                <w:szCs w:val="20"/>
              </w:rPr>
              <w:br/>
            </w:r>
            <w:r>
              <w:rPr>
                <w:rFonts w:ascii="Calibri" w:hAnsi="Calibri"/>
                <w:sz w:val="20"/>
                <w:szCs w:val="20"/>
              </w:rPr>
              <w:br/>
            </w:r>
            <w:r>
              <w:rPr>
                <w:rFonts w:ascii="Calibri" w:hAnsi="Calibri"/>
                <w:b/>
                <w:bCs/>
                <w:sz w:val="20"/>
                <w:szCs w:val="20"/>
              </w:rPr>
              <w:t>ICGN 7.3 Affirmation of financial statements</w:t>
            </w:r>
            <w:r>
              <w:rPr>
                <w:rFonts w:ascii="Calibri" w:hAnsi="Calibri"/>
                <w:b/>
                <w:bCs/>
                <w:sz w:val="20"/>
                <w:szCs w:val="20"/>
              </w:rPr>
              <w:br/>
            </w:r>
            <w:r>
              <w:rPr>
                <w:rFonts w:ascii="Calibri" w:hAnsi="Calibri"/>
                <w:sz w:val="20"/>
                <w:szCs w:val="20"/>
              </w:rPr>
              <w:t>The board of directors and the appropriate officers of the company should affirm at least annually the accuracy of the company's financial statements or financial accounts.</w:t>
            </w:r>
            <w:r>
              <w:rPr>
                <w:rFonts w:ascii="Calibri" w:hAnsi="Calibri"/>
                <w:sz w:val="20"/>
                <w:szCs w:val="20"/>
              </w:rPr>
              <w:br/>
            </w:r>
            <w:r>
              <w:rPr>
                <w:rFonts w:ascii="Calibri" w:hAnsi="Calibri"/>
                <w:sz w:val="20"/>
                <w:szCs w:val="20"/>
              </w:rPr>
              <w:br/>
            </w:r>
            <w:r>
              <w:rPr>
                <w:rFonts w:ascii="Calibri" w:hAnsi="Calibri"/>
                <w:b/>
                <w:bCs/>
                <w:sz w:val="20"/>
                <w:szCs w:val="20"/>
              </w:rPr>
              <w:t>International Auditing Standard (ISA) No. 705 "Modifications to the Opinion in the Independent Auditor's Report" (2009).</w:t>
            </w:r>
            <w:r>
              <w:rPr>
                <w:rFonts w:ascii="Calibri" w:hAnsi="Calibri"/>
                <w:sz w:val="20"/>
                <w:szCs w:val="20"/>
              </w:rPr>
              <w:br/>
            </w:r>
            <w:proofErr w:type="spellStart"/>
            <w:r>
              <w:rPr>
                <w:rFonts w:ascii="Calibri" w:hAnsi="Calibri"/>
                <w:sz w:val="20"/>
                <w:szCs w:val="20"/>
              </w:rPr>
              <w:t>Paras</w:t>
            </w:r>
            <w:proofErr w:type="spellEnd"/>
            <w:r>
              <w:rPr>
                <w:rFonts w:ascii="Calibri" w:hAnsi="Calibri"/>
                <w:sz w:val="20"/>
                <w:szCs w:val="20"/>
              </w:rPr>
              <w:t>. 7, 8 and 9 specify the three types of modifications to the auditor's opinion; that is, Qualified opinion, Adverse opinion, and Disclaimer opinion respectively.</w:t>
            </w:r>
          </w:p>
        </w:tc>
        <w:tc>
          <w:tcPr>
            <w:tcW w:w="1087" w:type="dxa"/>
            <w:shd w:val="clear" w:color="auto" w:fill="FFFFFF" w:themeFill="background1"/>
          </w:tcPr>
          <w:p w:rsidR="00DD686F" w:rsidRDefault="00DD686F" w:rsidP="009D6348">
            <w:pPr>
              <w:jc w:val="center"/>
              <w:rPr>
                <w:b/>
                <w:sz w:val="20"/>
                <w:szCs w:val="20"/>
              </w:rPr>
            </w:pPr>
            <w:r>
              <w:rPr>
                <w:b/>
                <w:sz w:val="20"/>
                <w:szCs w:val="20"/>
              </w:rPr>
              <w:lastRenderedPageBreak/>
              <w:t>N</w:t>
            </w:r>
          </w:p>
        </w:tc>
        <w:tc>
          <w:tcPr>
            <w:tcW w:w="4215" w:type="dxa"/>
            <w:shd w:val="clear" w:color="auto" w:fill="FFFFFF" w:themeFill="background1"/>
          </w:tcPr>
          <w:p w:rsidR="00DD686F" w:rsidRDefault="00DD686F" w:rsidP="009D6348">
            <w:pPr>
              <w:rPr>
                <w:b/>
                <w:sz w:val="20"/>
                <w:szCs w:val="20"/>
              </w:rPr>
            </w:pPr>
          </w:p>
        </w:tc>
      </w:tr>
      <w:tr w:rsidR="00DD686F" w:rsidTr="009D6348">
        <w:tc>
          <w:tcPr>
            <w:tcW w:w="1098" w:type="dxa"/>
            <w:shd w:val="clear" w:color="auto" w:fill="FFFFFF" w:themeFill="background1"/>
          </w:tcPr>
          <w:p w:rsidR="00DD686F" w:rsidRDefault="00DD686F" w:rsidP="009D6348">
            <w:pPr>
              <w:rPr>
                <w:rFonts w:ascii="Calibri" w:hAnsi="Calibri"/>
                <w:sz w:val="20"/>
                <w:szCs w:val="20"/>
              </w:rPr>
            </w:pPr>
            <w:r>
              <w:rPr>
                <w:rFonts w:ascii="Calibri" w:hAnsi="Calibri"/>
                <w:sz w:val="20"/>
                <w:szCs w:val="20"/>
              </w:rPr>
              <w:t>D.1.2(P)</w:t>
            </w:r>
          </w:p>
        </w:tc>
        <w:tc>
          <w:tcPr>
            <w:tcW w:w="4748" w:type="dxa"/>
            <w:shd w:val="clear" w:color="auto" w:fill="FFFFFF" w:themeFill="background1"/>
          </w:tcPr>
          <w:p w:rsidR="00DD686F" w:rsidRPr="00CB288C" w:rsidRDefault="00DD686F" w:rsidP="009D6348">
            <w:pPr>
              <w:rPr>
                <w:rFonts w:ascii="Calibri" w:hAnsi="Calibri"/>
                <w:sz w:val="20"/>
                <w:szCs w:val="20"/>
              </w:rPr>
            </w:pPr>
            <w:r w:rsidRPr="00CB288C">
              <w:rPr>
                <w:rFonts w:ascii="Calibri" w:hAnsi="Calibri"/>
                <w:sz w:val="20"/>
                <w:szCs w:val="20"/>
              </w:rPr>
              <w:t>Did the company receive an "adverse opinion" in its external audit report?</w:t>
            </w:r>
          </w:p>
        </w:tc>
        <w:tc>
          <w:tcPr>
            <w:tcW w:w="4252" w:type="dxa"/>
            <w:vMerge/>
            <w:shd w:val="clear" w:color="auto" w:fill="FFFFFF" w:themeFill="background1"/>
            <w:vAlign w:val="center"/>
          </w:tcPr>
          <w:p w:rsidR="00DD686F" w:rsidRDefault="00DD686F" w:rsidP="009D6348">
            <w:pPr>
              <w:rPr>
                <w:rFonts w:ascii="Calibri" w:hAnsi="Calibri"/>
                <w:sz w:val="20"/>
                <w:szCs w:val="20"/>
              </w:rPr>
            </w:pPr>
          </w:p>
        </w:tc>
        <w:tc>
          <w:tcPr>
            <w:tcW w:w="1087" w:type="dxa"/>
            <w:shd w:val="clear" w:color="auto" w:fill="FFFFFF" w:themeFill="background1"/>
          </w:tcPr>
          <w:p w:rsidR="00DD686F" w:rsidRDefault="00DD686F" w:rsidP="009D6348">
            <w:pPr>
              <w:jc w:val="center"/>
              <w:rPr>
                <w:b/>
                <w:sz w:val="20"/>
                <w:szCs w:val="20"/>
              </w:rPr>
            </w:pPr>
            <w:r>
              <w:rPr>
                <w:b/>
                <w:sz w:val="20"/>
                <w:szCs w:val="20"/>
              </w:rPr>
              <w:t>N</w:t>
            </w:r>
          </w:p>
        </w:tc>
        <w:tc>
          <w:tcPr>
            <w:tcW w:w="4215" w:type="dxa"/>
            <w:shd w:val="clear" w:color="auto" w:fill="FFFFFF" w:themeFill="background1"/>
          </w:tcPr>
          <w:p w:rsidR="00DD686F" w:rsidRDefault="00DD686F" w:rsidP="009D6348">
            <w:pPr>
              <w:rPr>
                <w:b/>
                <w:sz w:val="20"/>
                <w:szCs w:val="20"/>
              </w:rPr>
            </w:pPr>
          </w:p>
        </w:tc>
      </w:tr>
      <w:tr w:rsidR="00DD686F" w:rsidTr="009D6348">
        <w:tc>
          <w:tcPr>
            <w:tcW w:w="1098" w:type="dxa"/>
            <w:shd w:val="clear" w:color="auto" w:fill="FFFFFF" w:themeFill="background1"/>
          </w:tcPr>
          <w:p w:rsidR="00DD686F" w:rsidRDefault="00DD686F" w:rsidP="009D6348">
            <w:pPr>
              <w:rPr>
                <w:rFonts w:ascii="Calibri" w:hAnsi="Calibri"/>
                <w:sz w:val="20"/>
                <w:szCs w:val="20"/>
              </w:rPr>
            </w:pPr>
            <w:r>
              <w:rPr>
                <w:rFonts w:ascii="Calibri" w:hAnsi="Calibri"/>
                <w:sz w:val="20"/>
                <w:szCs w:val="20"/>
              </w:rPr>
              <w:t>D.1.3(P)</w:t>
            </w:r>
          </w:p>
        </w:tc>
        <w:tc>
          <w:tcPr>
            <w:tcW w:w="4748" w:type="dxa"/>
            <w:shd w:val="clear" w:color="auto" w:fill="FFFFFF" w:themeFill="background1"/>
          </w:tcPr>
          <w:p w:rsidR="00DD686F" w:rsidRPr="00CB288C" w:rsidRDefault="00DD686F" w:rsidP="009D6348">
            <w:pPr>
              <w:rPr>
                <w:rFonts w:ascii="Calibri" w:hAnsi="Calibri"/>
                <w:sz w:val="20"/>
                <w:szCs w:val="20"/>
              </w:rPr>
            </w:pPr>
            <w:r w:rsidRPr="00CB288C">
              <w:rPr>
                <w:rFonts w:ascii="Calibri" w:hAnsi="Calibri"/>
                <w:sz w:val="20"/>
                <w:szCs w:val="20"/>
              </w:rPr>
              <w:t>Did the company receive a "disclaimer opinion" in its external audit report?</w:t>
            </w:r>
          </w:p>
        </w:tc>
        <w:tc>
          <w:tcPr>
            <w:tcW w:w="4252" w:type="dxa"/>
            <w:vMerge/>
            <w:shd w:val="clear" w:color="auto" w:fill="FFFFFF" w:themeFill="background1"/>
            <w:vAlign w:val="center"/>
          </w:tcPr>
          <w:p w:rsidR="00DD686F" w:rsidRDefault="00DD686F" w:rsidP="009D6348">
            <w:pPr>
              <w:rPr>
                <w:rFonts w:ascii="Calibri" w:hAnsi="Calibri"/>
                <w:sz w:val="20"/>
                <w:szCs w:val="20"/>
              </w:rPr>
            </w:pPr>
          </w:p>
        </w:tc>
        <w:tc>
          <w:tcPr>
            <w:tcW w:w="1087" w:type="dxa"/>
            <w:shd w:val="clear" w:color="auto" w:fill="FFFFFF" w:themeFill="background1"/>
          </w:tcPr>
          <w:p w:rsidR="00DD686F" w:rsidRDefault="00DD686F" w:rsidP="009D6348">
            <w:pPr>
              <w:jc w:val="center"/>
              <w:rPr>
                <w:b/>
                <w:sz w:val="20"/>
                <w:szCs w:val="20"/>
              </w:rPr>
            </w:pPr>
            <w:r>
              <w:rPr>
                <w:b/>
                <w:sz w:val="20"/>
                <w:szCs w:val="20"/>
              </w:rPr>
              <w:t>N</w:t>
            </w:r>
          </w:p>
        </w:tc>
        <w:tc>
          <w:tcPr>
            <w:tcW w:w="4215" w:type="dxa"/>
            <w:shd w:val="clear" w:color="auto" w:fill="FFFFFF" w:themeFill="background1"/>
          </w:tcPr>
          <w:p w:rsidR="00DD686F" w:rsidRDefault="00DD686F" w:rsidP="009D6348">
            <w:pPr>
              <w:rPr>
                <w:b/>
                <w:sz w:val="20"/>
                <w:szCs w:val="20"/>
              </w:rPr>
            </w:pPr>
          </w:p>
        </w:tc>
      </w:tr>
      <w:tr w:rsidR="00DD686F" w:rsidTr="009D6348">
        <w:tc>
          <w:tcPr>
            <w:tcW w:w="1098" w:type="dxa"/>
            <w:shd w:val="clear" w:color="auto" w:fill="FFFFFF" w:themeFill="background1"/>
          </w:tcPr>
          <w:p w:rsidR="00DD686F" w:rsidRDefault="00DD686F" w:rsidP="009D6348">
            <w:pPr>
              <w:rPr>
                <w:rFonts w:ascii="Calibri" w:hAnsi="Calibri"/>
                <w:sz w:val="20"/>
                <w:szCs w:val="20"/>
              </w:rPr>
            </w:pPr>
            <w:r>
              <w:rPr>
                <w:rFonts w:ascii="Calibri" w:hAnsi="Calibri"/>
                <w:sz w:val="20"/>
                <w:szCs w:val="20"/>
              </w:rPr>
              <w:lastRenderedPageBreak/>
              <w:t>D.1.4(P)</w:t>
            </w:r>
          </w:p>
        </w:tc>
        <w:tc>
          <w:tcPr>
            <w:tcW w:w="4748" w:type="dxa"/>
            <w:shd w:val="clear" w:color="auto" w:fill="FFFFFF" w:themeFill="background1"/>
          </w:tcPr>
          <w:p w:rsidR="00DD686F" w:rsidRDefault="00DD686F" w:rsidP="009D6348">
            <w:pPr>
              <w:spacing w:after="240"/>
              <w:rPr>
                <w:rFonts w:ascii="Calibri" w:hAnsi="Calibri"/>
                <w:sz w:val="20"/>
                <w:szCs w:val="20"/>
              </w:rPr>
            </w:pPr>
            <w:r>
              <w:rPr>
                <w:rFonts w:ascii="Calibri" w:hAnsi="Calibri"/>
                <w:sz w:val="20"/>
                <w:szCs w:val="20"/>
              </w:rPr>
              <w:t>Has the company in the past year revised its financial statements for reasons other than changes in accounting policies?</w:t>
            </w:r>
          </w:p>
        </w:tc>
        <w:tc>
          <w:tcPr>
            <w:tcW w:w="4252" w:type="dxa"/>
            <w:vMerge/>
            <w:shd w:val="clear" w:color="auto" w:fill="FFFFFF" w:themeFill="background1"/>
            <w:vAlign w:val="center"/>
          </w:tcPr>
          <w:p w:rsidR="00DD686F" w:rsidRDefault="00DD686F" w:rsidP="009D6348">
            <w:pPr>
              <w:rPr>
                <w:rFonts w:ascii="Calibri" w:hAnsi="Calibri"/>
                <w:sz w:val="20"/>
                <w:szCs w:val="20"/>
              </w:rPr>
            </w:pPr>
          </w:p>
        </w:tc>
        <w:tc>
          <w:tcPr>
            <w:tcW w:w="1087" w:type="dxa"/>
            <w:shd w:val="clear" w:color="auto" w:fill="FFFFFF" w:themeFill="background1"/>
          </w:tcPr>
          <w:p w:rsidR="00DD686F" w:rsidRDefault="00DD686F" w:rsidP="009D6348">
            <w:pPr>
              <w:jc w:val="center"/>
              <w:rPr>
                <w:b/>
                <w:sz w:val="20"/>
                <w:szCs w:val="20"/>
              </w:rPr>
            </w:pPr>
            <w:r>
              <w:rPr>
                <w:b/>
                <w:sz w:val="20"/>
                <w:szCs w:val="20"/>
              </w:rPr>
              <w:t>N</w:t>
            </w:r>
          </w:p>
        </w:tc>
        <w:tc>
          <w:tcPr>
            <w:tcW w:w="4215" w:type="dxa"/>
            <w:shd w:val="clear" w:color="auto" w:fill="FFFFFF" w:themeFill="background1"/>
          </w:tcPr>
          <w:p w:rsidR="00DD686F" w:rsidRDefault="00DD686F" w:rsidP="009D6348">
            <w:pPr>
              <w:rPr>
                <w:b/>
                <w:sz w:val="20"/>
                <w:szCs w:val="20"/>
              </w:rPr>
            </w:pPr>
          </w:p>
        </w:tc>
      </w:tr>
    </w:tbl>
    <w:p w:rsidR="00DD686F" w:rsidRDefault="00DD686F" w:rsidP="00DD686F">
      <w:pPr>
        <w:spacing w:after="0" w:line="240" w:lineRule="auto"/>
      </w:pPr>
    </w:p>
    <w:p w:rsidR="00DD686F" w:rsidRDefault="00DD686F" w:rsidP="00DD686F">
      <w:pPr>
        <w:spacing w:after="0" w:line="240" w:lineRule="auto"/>
      </w:pPr>
    </w:p>
    <w:tbl>
      <w:tblPr>
        <w:tblStyle w:val="TableGrid"/>
        <w:tblW w:w="0" w:type="auto"/>
        <w:tblInd w:w="108" w:type="dxa"/>
        <w:tblLook w:val="04A0"/>
      </w:tblPr>
      <w:tblGrid>
        <w:gridCol w:w="1069"/>
        <w:gridCol w:w="4457"/>
        <w:gridCol w:w="3922"/>
        <w:gridCol w:w="1087"/>
        <w:gridCol w:w="3973"/>
      </w:tblGrid>
      <w:tr w:rsidR="00DD686F" w:rsidTr="009D6348">
        <w:tc>
          <w:tcPr>
            <w:tcW w:w="1098" w:type="dxa"/>
            <w:shd w:val="clear" w:color="auto" w:fill="FFC000"/>
          </w:tcPr>
          <w:p w:rsidR="00DD686F" w:rsidRDefault="00DD686F" w:rsidP="009D6348">
            <w:pPr>
              <w:jc w:val="center"/>
              <w:rPr>
                <w:b/>
                <w:sz w:val="20"/>
                <w:szCs w:val="20"/>
              </w:rPr>
            </w:pPr>
            <w:r>
              <w:rPr>
                <w:b/>
                <w:sz w:val="20"/>
                <w:szCs w:val="20"/>
              </w:rPr>
              <w:t>ITEM No.</w:t>
            </w:r>
          </w:p>
        </w:tc>
        <w:tc>
          <w:tcPr>
            <w:tcW w:w="4748" w:type="dxa"/>
            <w:shd w:val="clear" w:color="auto" w:fill="FFC000"/>
          </w:tcPr>
          <w:p w:rsidR="00DD686F" w:rsidRDefault="00DD686F" w:rsidP="009D6348">
            <w:pPr>
              <w:jc w:val="center"/>
              <w:rPr>
                <w:b/>
                <w:sz w:val="20"/>
                <w:szCs w:val="20"/>
              </w:rPr>
            </w:pPr>
            <w:r>
              <w:rPr>
                <w:b/>
                <w:sz w:val="20"/>
                <w:szCs w:val="20"/>
              </w:rPr>
              <w:t>RESPONSIBILITY OF THE BOARD</w:t>
            </w:r>
          </w:p>
        </w:tc>
        <w:tc>
          <w:tcPr>
            <w:tcW w:w="4252" w:type="dxa"/>
            <w:shd w:val="clear" w:color="auto" w:fill="FFC000"/>
          </w:tcPr>
          <w:p w:rsidR="00DD686F" w:rsidRDefault="00DD686F" w:rsidP="009D6348">
            <w:pPr>
              <w:jc w:val="center"/>
              <w:rPr>
                <w:b/>
                <w:sz w:val="20"/>
                <w:szCs w:val="20"/>
              </w:rPr>
            </w:pPr>
            <w:r>
              <w:rPr>
                <w:b/>
                <w:sz w:val="20"/>
                <w:szCs w:val="20"/>
              </w:rPr>
              <w:t>APPLICABLE PRINCIPLE</w:t>
            </w:r>
          </w:p>
        </w:tc>
        <w:tc>
          <w:tcPr>
            <w:tcW w:w="1087" w:type="dxa"/>
            <w:shd w:val="clear" w:color="auto" w:fill="FFC000"/>
          </w:tcPr>
          <w:p w:rsidR="00DD686F" w:rsidRDefault="00DD686F" w:rsidP="009D6348">
            <w:pPr>
              <w:jc w:val="center"/>
              <w:rPr>
                <w:b/>
                <w:sz w:val="20"/>
                <w:szCs w:val="20"/>
              </w:rPr>
            </w:pPr>
            <w:r>
              <w:rPr>
                <w:b/>
                <w:sz w:val="20"/>
                <w:szCs w:val="20"/>
              </w:rPr>
              <w:t>RESPONSE</w:t>
            </w:r>
          </w:p>
        </w:tc>
        <w:tc>
          <w:tcPr>
            <w:tcW w:w="4215" w:type="dxa"/>
            <w:shd w:val="clear" w:color="auto" w:fill="FFC000"/>
          </w:tcPr>
          <w:p w:rsidR="00DD686F" w:rsidRDefault="00DD686F" w:rsidP="009D6348">
            <w:pPr>
              <w:jc w:val="center"/>
              <w:rPr>
                <w:b/>
                <w:sz w:val="20"/>
                <w:szCs w:val="20"/>
              </w:rPr>
            </w:pPr>
            <w:r>
              <w:rPr>
                <w:b/>
                <w:sz w:val="20"/>
                <w:szCs w:val="20"/>
              </w:rPr>
              <w:t>REFERENCE/SOURCE DOCUMENT</w:t>
            </w:r>
          </w:p>
        </w:tc>
      </w:tr>
      <w:tr w:rsidR="00DD686F" w:rsidTr="009D6348">
        <w:tc>
          <w:tcPr>
            <w:tcW w:w="15400" w:type="dxa"/>
            <w:gridSpan w:val="5"/>
            <w:shd w:val="clear" w:color="auto" w:fill="FFCC99"/>
          </w:tcPr>
          <w:p w:rsidR="00DD686F" w:rsidRPr="00293524" w:rsidRDefault="00DD686F" w:rsidP="009D6348">
            <w:pPr>
              <w:rPr>
                <w:b/>
                <w:sz w:val="20"/>
                <w:szCs w:val="20"/>
              </w:rPr>
            </w:pPr>
            <w:r>
              <w:rPr>
                <w:b/>
                <w:sz w:val="20"/>
                <w:szCs w:val="20"/>
              </w:rPr>
              <w:t xml:space="preserve">E.1 </w:t>
            </w:r>
            <w:r>
              <w:rPr>
                <w:rFonts w:ascii="Calibri" w:hAnsi="Calibri"/>
                <w:b/>
                <w:bCs/>
                <w:sz w:val="20"/>
                <w:szCs w:val="20"/>
              </w:rPr>
              <w:t>Compliance with listing rules, regulations and applicable laws</w:t>
            </w:r>
          </w:p>
        </w:tc>
      </w:tr>
      <w:tr w:rsidR="00DD686F" w:rsidTr="009D6348">
        <w:tc>
          <w:tcPr>
            <w:tcW w:w="1098" w:type="dxa"/>
            <w:shd w:val="clear" w:color="auto" w:fill="FFFFFF" w:themeFill="background1"/>
          </w:tcPr>
          <w:p w:rsidR="00DD686F" w:rsidRDefault="00DD686F" w:rsidP="009D6348">
            <w:pPr>
              <w:rPr>
                <w:rFonts w:ascii="Calibri" w:hAnsi="Calibri"/>
                <w:sz w:val="20"/>
                <w:szCs w:val="20"/>
              </w:rPr>
            </w:pPr>
            <w:r>
              <w:rPr>
                <w:rFonts w:ascii="Calibri" w:hAnsi="Calibri"/>
                <w:sz w:val="20"/>
                <w:szCs w:val="20"/>
              </w:rPr>
              <w:lastRenderedPageBreak/>
              <w:t>E.1.1(P)</w:t>
            </w:r>
          </w:p>
        </w:tc>
        <w:tc>
          <w:tcPr>
            <w:tcW w:w="4748" w:type="dxa"/>
            <w:shd w:val="clear" w:color="auto" w:fill="FFFFFF" w:themeFill="background1"/>
          </w:tcPr>
          <w:p w:rsidR="00DD686F" w:rsidRDefault="00DD686F" w:rsidP="009D6348">
            <w:pPr>
              <w:jc w:val="both"/>
              <w:rPr>
                <w:rFonts w:ascii="Calibri" w:hAnsi="Calibri"/>
                <w:sz w:val="20"/>
                <w:szCs w:val="20"/>
              </w:rPr>
            </w:pPr>
            <w:r>
              <w:rPr>
                <w:rFonts w:ascii="Calibri" w:hAnsi="Calibri"/>
                <w:sz w:val="20"/>
                <w:szCs w:val="20"/>
              </w:rPr>
              <w:t>Is there any evidence that the company has not complied with any listing rules and regulations over the past year apart from disclosure rules?</w:t>
            </w:r>
          </w:p>
        </w:tc>
        <w:tc>
          <w:tcPr>
            <w:tcW w:w="4252" w:type="dxa"/>
            <w:shd w:val="clear" w:color="auto" w:fill="FFFFFF" w:themeFill="background1"/>
          </w:tcPr>
          <w:p w:rsidR="00DD686F" w:rsidRDefault="00DD686F" w:rsidP="009D6348">
            <w:pPr>
              <w:jc w:val="both"/>
              <w:rPr>
                <w:rFonts w:ascii="Calibri" w:hAnsi="Calibri"/>
                <w:b/>
                <w:bCs/>
                <w:sz w:val="20"/>
                <w:szCs w:val="20"/>
              </w:rPr>
            </w:pPr>
            <w:r>
              <w:rPr>
                <w:rFonts w:ascii="Calibri" w:hAnsi="Calibri"/>
                <w:b/>
                <w:bCs/>
                <w:sz w:val="20"/>
                <w:szCs w:val="20"/>
              </w:rPr>
              <w:t xml:space="preserve">OECD Principle VI (D) </w:t>
            </w:r>
            <w:r>
              <w:rPr>
                <w:rFonts w:ascii="Calibri" w:hAnsi="Calibri"/>
                <w:b/>
                <w:bCs/>
                <w:sz w:val="20"/>
                <w:szCs w:val="20"/>
              </w:rPr>
              <w:br/>
            </w:r>
            <w:r>
              <w:rPr>
                <w:rFonts w:ascii="Calibri" w:hAnsi="Calibri"/>
                <w:sz w:val="20"/>
                <w:szCs w:val="20"/>
              </w:rPr>
              <w:t>(7) 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w:t>
            </w:r>
            <w:r>
              <w:rPr>
                <w:rFonts w:ascii="Calibri" w:hAnsi="Calibri"/>
                <w:sz w:val="20"/>
                <w:szCs w:val="20"/>
              </w:rPr>
              <w:br/>
            </w:r>
            <w:r>
              <w:rPr>
                <w:rFonts w:ascii="Calibri" w:hAnsi="Calibri"/>
                <w:sz w:val="20"/>
                <w:szCs w:val="20"/>
              </w:rPr>
              <w:br/>
              <w:t xml:space="preserve">Companies are also well advised to set up internal </w:t>
            </w:r>
            <w:proofErr w:type="spellStart"/>
            <w:r>
              <w:rPr>
                <w:rFonts w:ascii="Calibri" w:hAnsi="Calibri"/>
                <w:sz w:val="20"/>
                <w:szCs w:val="20"/>
              </w:rPr>
              <w:t>programmes</w:t>
            </w:r>
            <w:proofErr w:type="spellEnd"/>
            <w:r>
              <w:rPr>
                <w:rFonts w:ascii="Calibri" w:hAnsi="Calibri"/>
                <w:sz w:val="20"/>
                <w:szCs w:val="20"/>
              </w:rPr>
              <w:t xml:space="preserve"> and procedures to promote compliance with applicable laws, regulations and standards, including statutes to </w:t>
            </w:r>
            <w:proofErr w:type="spellStart"/>
            <w:r>
              <w:rPr>
                <w:rFonts w:ascii="Calibri" w:hAnsi="Calibri"/>
                <w:sz w:val="20"/>
                <w:szCs w:val="20"/>
              </w:rPr>
              <w:t>criminalise</w:t>
            </w:r>
            <w:proofErr w:type="spellEnd"/>
            <w:r>
              <w:rPr>
                <w:rFonts w:ascii="Calibri" w:hAnsi="Calibri"/>
                <w:sz w:val="20"/>
                <w:szCs w:val="20"/>
              </w:rPr>
              <w:t xml:space="preserve"> bribery of foreign officials that are required to be enacted by the OECD Anti-bribery Convention and measures designed to control other forms of bribery and corruption. Moreover, compliance must also relate to other laws and regulations such as those covering securities, competition and work and safety conditions. Such compliance </w:t>
            </w:r>
            <w:proofErr w:type="spellStart"/>
            <w:r>
              <w:rPr>
                <w:rFonts w:ascii="Calibri" w:hAnsi="Calibri"/>
                <w:sz w:val="20"/>
                <w:szCs w:val="20"/>
              </w:rPr>
              <w:t>programmes</w:t>
            </w:r>
            <w:proofErr w:type="spellEnd"/>
            <w:r>
              <w:rPr>
                <w:rFonts w:ascii="Calibri" w:hAnsi="Calibri"/>
                <w:sz w:val="20"/>
                <w:szCs w:val="20"/>
              </w:rPr>
              <w:t xml:space="preserve"> will also underpin the company’s ethical code.</w:t>
            </w:r>
          </w:p>
        </w:tc>
        <w:tc>
          <w:tcPr>
            <w:tcW w:w="1087" w:type="dxa"/>
            <w:shd w:val="clear" w:color="auto" w:fill="FFFFFF" w:themeFill="background1"/>
            <w:vAlign w:val="center"/>
          </w:tcPr>
          <w:p w:rsidR="00DD686F" w:rsidRPr="00A420DB" w:rsidRDefault="00DD686F" w:rsidP="009D6348">
            <w:pPr>
              <w:jc w:val="center"/>
              <w:rPr>
                <w:b/>
                <w:sz w:val="20"/>
                <w:szCs w:val="20"/>
              </w:rPr>
            </w:pPr>
            <w:r w:rsidRPr="00A420DB">
              <w:rPr>
                <w:b/>
                <w:sz w:val="20"/>
                <w:szCs w:val="20"/>
              </w:rPr>
              <w:t>N/A</w:t>
            </w:r>
          </w:p>
        </w:tc>
        <w:tc>
          <w:tcPr>
            <w:tcW w:w="4215" w:type="dxa"/>
            <w:shd w:val="clear" w:color="auto" w:fill="FFFFFF" w:themeFill="background1"/>
            <w:vAlign w:val="center"/>
          </w:tcPr>
          <w:p w:rsidR="00DD686F" w:rsidRDefault="00DD686F" w:rsidP="009D6348">
            <w:pPr>
              <w:jc w:val="center"/>
            </w:pPr>
          </w:p>
        </w:tc>
      </w:tr>
      <w:tr w:rsidR="00DD686F" w:rsidTr="009D6348">
        <w:tc>
          <w:tcPr>
            <w:tcW w:w="1098" w:type="dxa"/>
            <w:shd w:val="clear" w:color="auto" w:fill="FFFFFF" w:themeFill="background1"/>
          </w:tcPr>
          <w:p w:rsidR="00DD686F" w:rsidRDefault="00DD686F" w:rsidP="009D6348">
            <w:pPr>
              <w:rPr>
                <w:rFonts w:ascii="Calibri" w:hAnsi="Calibri"/>
                <w:sz w:val="20"/>
                <w:szCs w:val="20"/>
              </w:rPr>
            </w:pPr>
            <w:r>
              <w:rPr>
                <w:rFonts w:ascii="Calibri" w:hAnsi="Calibri"/>
                <w:sz w:val="20"/>
                <w:szCs w:val="20"/>
              </w:rPr>
              <w:t>E.1.2(P)</w:t>
            </w:r>
          </w:p>
        </w:tc>
        <w:tc>
          <w:tcPr>
            <w:tcW w:w="4748" w:type="dxa"/>
            <w:shd w:val="clear" w:color="auto" w:fill="FFFFFF" w:themeFill="background1"/>
          </w:tcPr>
          <w:p w:rsidR="00DD686F" w:rsidRDefault="00DD686F" w:rsidP="009D6348">
            <w:pPr>
              <w:jc w:val="both"/>
              <w:rPr>
                <w:rFonts w:ascii="Calibri" w:hAnsi="Calibri"/>
                <w:sz w:val="20"/>
                <w:szCs w:val="20"/>
              </w:rPr>
            </w:pPr>
            <w:r>
              <w:rPr>
                <w:rFonts w:ascii="Calibri" w:hAnsi="Calibri"/>
                <w:sz w:val="20"/>
                <w:szCs w:val="20"/>
              </w:rPr>
              <w:t>Have there been any instances where non-executive directors/commissioner have resigned and raised any issues of governance-related concerns?</w:t>
            </w:r>
          </w:p>
        </w:tc>
        <w:tc>
          <w:tcPr>
            <w:tcW w:w="4252" w:type="dxa"/>
            <w:shd w:val="clear" w:color="auto" w:fill="FFFFFF" w:themeFill="background1"/>
          </w:tcPr>
          <w:p w:rsidR="00DD686F" w:rsidRDefault="00DD686F" w:rsidP="009D6348">
            <w:pPr>
              <w:rPr>
                <w:rFonts w:ascii="Calibri" w:hAnsi="Calibri"/>
                <w:b/>
                <w:bCs/>
                <w:sz w:val="20"/>
                <w:szCs w:val="20"/>
              </w:rPr>
            </w:pPr>
            <w:r>
              <w:rPr>
                <w:rFonts w:ascii="Calibri" w:hAnsi="Calibri"/>
                <w:b/>
                <w:bCs/>
                <w:sz w:val="20"/>
                <w:szCs w:val="20"/>
              </w:rPr>
              <w:t xml:space="preserve">UK CODE (JUNE 2010) </w:t>
            </w:r>
            <w:r>
              <w:rPr>
                <w:rFonts w:ascii="Calibri" w:hAnsi="Calibri"/>
                <w:b/>
                <w:bCs/>
                <w:sz w:val="20"/>
                <w:szCs w:val="20"/>
              </w:rPr>
              <w:br/>
            </w:r>
            <w:r>
              <w:rPr>
                <w:rFonts w:ascii="Calibri" w:hAnsi="Calibri"/>
                <w:sz w:val="20"/>
                <w:szCs w:val="20"/>
              </w:rPr>
              <w:t>A.4.3 Where directors have concerns which cannot be resolved about the running of the company or a proposed action, they should ensure that their concerns are recorded in the board minutes. On resignation, a non-executive director should provide a written statement to the chairman, for circulation to the board, if they have any such concerns.</w:t>
            </w:r>
          </w:p>
        </w:tc>
        <w:tc>
          <w:tcPr>
            <w:tcW w:w="1087" w:type="dxa"/>
            <w:shd w:val="clear" w:color="auto" w:fill="FFFFFF" w:themeFill="background1"/>
            <w:vAlign w:val="center"/>
          </w:tcPr>
          <w:p w:rsidR="00DD686F" w:rsidRDefault="00DD686F" w:rsidP="009D6348">
            <w:pPr>
              <w:jc w:val="center"/>
            </w:pPr>
            <w:r>
              <w:t>N</w:t>
            </w:r>
          </w:p>
        </w:tc>
        <w:tc>
          <w:tcPr>
            <w:tcW w:w="4215" w:type="dxa"/>
            <w:shd w:val="clear" w:color="auto" w:fill="FFFFFF" w:themeFill="background1"/>
          </w:tcPr>
          <w:p w:rsidR="00DD686F" w:rsidRDefault="00DD686F" w:rsidP="009D6348">
            <w:pPr>
              <w:rPr>
                <w:b/>
                <w:sz w:val="20"/>
                <w:szCs w:val="20"/>
              </w:rPr>
            </w:pPr>
            <w:r w:rsidRPr="008B3203">
              <w:rPr>
                <w:b/>
                <w:sz w:val="20"/>
                <w:szCs w:val="20"/>
              </w:rPr>
              <w:t xml:space="preserve">There </w:t>
            </w:r>
            <w:r>
              <w:rPr>
                <w:b/>
                <w:sz w:val="20"/>
                <w:szCs w:val="20"/>
              </w:rPr>
              <w:t>has been no instance wherein the non-executive director/commissioner resigned due to or raised any issues of governance-related concerns</w:t>
            </w:r>
          </w:p>
          <w:p w:rsidR="00DD686F" w:rsidRDefault="00DD686F" w:rsidP="009D6348"/>
        </w:tc>
      </w:tr>
      <w:tr w:rsidR="00DD686F" w:rsidTr="009D6348">
        <w:tc>
          <w:tcPr>
            <w:tcW w:w="15400" w:type="dxa"/>
            <w:gridSpan w:val="5"/>
            <w:shd w:val="clear" w:color="auto" w:fill="FFCC99"/>
          </w:tcPr>
          <w:p w:rsidR="00DD686F" w:rsidRPr="005033AD" w:rsidRDefault="00DD686F" w:rsidP="009D6348">
            <w:pPr>
              <w:jc w:val="center"/>
              <w:rPr>
                <w:b/>
                <w:sz w:val="20"/>
                <w:szCs w:val="20"/>
              </w:rPr>
            </w:pPr>
            <w:r>
              <w:br w:type="page"/>
            </w:r>
            <w:r>
              <w:rPr>
                <w:b/>
                <w:sz w:val="20"/>
                <w:szCs w:val="20"/>
              </w:rPr>
              <w:t xml:space="preserve">E.2 </w:t>
            </w:r>
            <w:r>
              <w:rPr>
                <w:rFonts w:ascii="Calibri" w:hAnsi="Calibri"/>
                <w:b/>
                <w:bCs/>
                <w:sz w:val="20"/>
                <w:szCs w:val="20"/>
              </w:rPr>
              <w:t>Board Appraisal</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E.2.1(P)</w:t>
            </w:r>
          </w:p>
        </w:tc>
        <w:tc>
          <w:tcPr>
            <w:tcW w:w="4748" w:type="dxa"/>
          </w:tcPr>
          <w:p w:rsidR="00DD686F" w:rsidRDefault="00DD686F" w:rsidP="009D6348">
            <w:pPr>
              <w:rPr>
                <w:rFonts w:ascii="Calibri" w:hAnsi="Calibri"/>
                <w:sz w:val="20"/>
                <w:szCs w:val="20"/>
              </w:rPr>
            </w:pPr>
            <w:r w:rsidRPr="00BF6690">
              <w:rPr>
                <w:rFonts w:ascii="Calibri" w:hAnsi="Calibri"/>
                <w:sz w:val="20"/>
                <w:szCs w:val="20"/>
                <w:highlight w:val="yellow"/>
              </w:rPr>
              <w:t>Does the Company have any independent directors/commissioners who have served for more than nine years or two terms (whichever is higher) in the same capacity?</w:t>
            </w:r>
          </w:p>
        </w:tc>
        <w:tc>
          <w:tcPr>
            <w:tcW w:w="4252" w:type="dxa"/>
          </w:tcPr>
          <w:p w:rsidR="00DD686F" w:rsidRDefault="00DD686F" w:rsidP="009D6348">
            <w:pPr>
              <w:rPr>
                <w:rFonts w:ascii="Calibri" w:hAnsi="Calibri"/>
                <w:sz w:val="20"/>
                <w:szCs w:val="20"/>
              </w:rPr>
            </w:pPr>
            <w:r>
              <w:rPr>
                <w:rFonts w:ascii="Calibri" w:hAnsi="Calibri"/>
                <w:b/>
                <w:bCs/>
                <w:sz w:val="20"/>
                <w:szCs w:val="20"/>
              </w:rPr>
              <w:t xml:space="preserve">OECD Principle V </w:t>
            </w:r>
            <w:r>
              <w:rPr>
                <w:rFonts w:ascii="Calibri" w:hAnsi="Calibri"/>
                <w:sz w:val="20"/>
                <w:szCs w:val="20"/>
              </w:rPr>
              <w:br/>
              <w:t xml:space="preserve">(C) An annual audit should be conducted by an independent, competent and qualified, auditor in order to provide an external and objective assurance to the board and shareholders that the financial statements fairly represent the financial position and performance of the company in all material </w:t>
            </w:r>
            <w:r>
              <w:rPr>
                <w:rFonts w:ascii="Calibri" w:hAnsi="Calibri"/>
                <w:sz w:val="20"/>
                <w:szCs w:val="20"/>
              </w:rPr>
              <w:lastRenderedPageBreak/>
              <w:t>respects.</w:t>
            </w:r>
            <w:r>
              <w:rPr>
                <w:rFonts w:ascii="Calibri" w:hAnsi="Calibri"/>
                <w:sz w:val="20"/>
                <w:szCs w:val="20"/>
              </w:rPr>
              <w:br/>
            </w:r>
            <w:r>
              <w:rPr>
                <w:rFonts w:ascii="Calibri" w:hAnsi="Calibri"/>
                <w:sz w:val="20"/>
                <w:szCs w:val="20"/>
              </w:rPr>
              <w:br/>
              <w:t>Examples of other provisions to underpin auditor independence include, a total ban or severe limitation on the nature of non-audit work which can be undertaken by an auditor for their audit client, mandatory rotation of auditors (either partners or in some cases the audit partnership), a temporary ban on the employment of an ex-auditor by the audited company and prohibiting auditors or their dependents from having a financial stake or management role in the companies they audit.</w:t>
            </w:r>
          </w:p>
        </w:tc>
        <w:tc>
          <w:tcPr>
            <w:tcW w:w="1087" w:type="dxa"/>
            <w:vAlign w:val="center"/>
          </w:tcPr>
          <w:p w:rsidR="00DD686F" w:rsidRDefault="00DD686F" w:rsidP="009D6348">
            <w:pPr>
              <w:jc w:val="center"/>
              <w:rPr>
                <w:b/>
                <w:sz w:val="20"/>
                <w:szCs w:val="20"/>
              </w:rPr>
            </w:pPr>
          </w:p>
        </w:tc>
        <w:tc>
          <w:tcPr>
            <w:tcW w:w="4215" w:type="dxa"/>
          </w:tcPr>
          <w:p w:rsidR="00DD686F" w:rsidRDefault="00DD686F" w:rsidP="009D6348">
            <w:pPr>
              <w:rPr>
                <w:b/>
                <w:sz w:val="20"/>
                <w:szCs w:val="20"/>
              </w:rPr>
            </w:pP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lastRenderedPageBreak/>
              <w:t>E.2.2(P)</w:t>
            </w:r>
          </w:p>
        </w:tc>
        <w:tc>
          <w:tcPr>
            <w:tcW w:w="4748" w:type="dxa"/>
          </w:tcPr>
          <w:p w:rsidR="00DD686F" w:rsidRDefault="00DD686F" w:rsidP="009D6348">
            <w:pPr>
              <w:rPr>
                <w:rFonts w:ascii="Calibri" w:hAnsi="Calibri"/>
                <w:sz w:val="20"/>
                <w:szCs w:val="20"/>
              </w:rPr>
            </w:pPr>
            <w:r>
              <w:rPr>
                <w:rFonts w:ascii="Calibri" w:hAnsi="Calibri"/>
                <w:sz w:val="20"/>
                <w:szCs w:val="20"/>
              </w:rPr>
              <w:t>Did the company fail to identify who are the independent director(s) / commissioner(s)?</w:t>
            </w:r>
          </w:p>
        </w:tc>
        <w:tc>
          <w:tcPr>
            <w:tcW w:w="4252" w:type="dxa"/>
          </w:tcPr>
          <w:p w:rsidR="00DD686F" w:rsidRDefault="00DD686F" w:rsidP="009D6348">
            <w:pPr>
              <w:rPr>
                <w:rFonts w:ascii="Calibri" w:hAnsi="Calibri"/>
                <w:b/>
                <w:bCs/>
                <w:sz w:val="20"/>
                <w:szCs w:val="20"/>
              </w:rPr>
            </w:pPr>
            <w:r>
              <w:rPr>
                <w:rFonts w:ascii="Calibri" w:hAnsi="Calibri"/>
                <w:b/>
                <w:bCs/>
                <w:sz w:val="20"/>
                <w:szCs w:val="20"/>
              </w:rPr>
              <w:t>ICGN 2.4 Composition and structure of the board</w:t>
            </w:r>
            <w:r>
              <w:rPr>
                <w:rFonts w:ascii="Calibri" w:hAnsi="Calibri"/>
                <w:b/>
                <w:bCs/>
                <w:sz w:val="20"/>
                <w:szCs w:val="20"/>
              </w:rPr>
              <w:br/>
              <w:t>ICGN 2.4.1 Skills and experience</w:t>
            </w:r>
            <w:r>
              <w:rPr>
                <w:rFonts w:ascii="Calibri" w:hAnsi="Calibri"/>
                <w:b/>
                <w:bCs/>
                <w:sz w:val="20"/>
                <w:szCs w:val="20"/>
              </w:rPr>
              <w:br/>
              <w:t>ICGN 2.4.3 Independence</w:t>
            </w:r>
          </w:p>
        </w:tc>
        <w:tc>
          <w:tcPr>
            <w:tcW w:w="1087"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r>
              <w:rPr>
                <w:b/>
                <w:sz w:val="20"/>
                <w:szCs w:val="20"/>
              </w:rPr>
              <w:t>The Independent Directors are clearly identified on the company website</w:t>
            </w:r>
          </w:p>
        </w:tc>
      </w:tr>
      <w:tr w:rsidR="00DD686F" w:rsidTr="009D6348">
        <w:tc>
          <w:tcPr>
            <w:tcW w:w="15400" w:type="dxa"/>
            <w:gridSpan w:val="5"/>
            <w:shd w:val="clear" w:color="auto" w:fill="FABF8F" w:themeFill="accent6" w:themeFillTint="99"/>
          </w:tcPr>
          <w:p w:rsidR="00DD686F" w:rsidRPr="005033AD" w:rsidRDefault="00DD686F" w:rsidP="009D6348">
            <w:pPr>
              <w:rPr>
                <w:b/>
                <w:sz w:val="20"/>
                <w:szCs w:val="20"/>
              </w:rPr>
            </w:pPr>
            <w:r>
              <w:rPr>
                <w:b/>
                <w:sz w:val="20"/>
                <w:szCs w:val="20"/>
              </w:rPr>
              <w:t xml:space="preserve">E.3 </w:t>
            </w:r>
            <w:r>
              <w:rPr>
                <w:rFonts w:ascii="Calibri" w:hAnsi="Calibri"/>
                <w:b/>
                <w:bCs/>
                <w:sz w:val="20"/>
                <w:szCs w:val="20"/>
              </w:rPr>
              <w:t>External Audit</w:t>
            </w:r>
          </w:p>
        </w:tc>
      </w:tr>
      <w:tr w:rsidR="00DD686F" w:rsidTr="009D6348">
        <w:tc>
          <w:tcPr>
            <w:tcW w:w="1098" w:type="dxa"/>
          </w:tcPr>
          <w:p w:rsidR="00DD686F" w:rsidRDefault="00DD686F" w:rsidP="009D6348">
            <w:pPr>
              <w:rPr>
                <w:rFonts w:ascii="Calibri" w:hAnsi="Calibri"/>
                <w:sz w:val="20"/>
                <w:szCs w:val="20"/>
              </w:rPr>
            </w:pPr>
            <w:r>
              <w:rPr>
                <w:rFonts w:ascii="Calibri" w:hAnsi="Calibri"/>
                <w:sz w:val="20"/>
                <w:szCs w:val="20"/>
              </w:rPr>
              <w:t>E.3.1(P)</w:t>
            </w:r>
          </w:p>
        </w:tc>
        <w:tc>
          <w:tcPr>
            <w:tcW w:w="4748" w:type="dxa"/>
          </w:tcPr>
          <w:p w:rsidR="00DD686F" w:rsidRDefault="00DD686F" w:rsidP="009D6348">
            <w:pPr>
              <w:rPr>
                <w:rFonts w:ascii="Calibri" w:hAnsi="Calibri"/>
                <w:sz w:val="20"/>
                <w:szCs w:val="20"/>
              </w:rPr>
            </w:pPr>
            <w:proofErr w:type="gramStart"/>
            <w:r w:rsidRPr="0074415A">
              <w:rPr>
                <w:rFonts w:ascii="Calibri" w:hAnsi="Calibri"/>
                <w:sz w:val="20"/>
                <w:szCs w:val="20"/>
              </w:rPr>
              <w:t>Is any of the directors</w:t>
            </w:r>
            <w:proofErr w:type="gramEnd"/>
            <w:r w:rsidRPr="0074415A">
              <w:rPr>
                <w:rFonts w:ascii="Calibri" w:hAnsi="Calibri"/>
                <w:sz w:val="20"/>
                <w:szCs w:val="20"/>
              </w:rPr>
              <w:t xml:space="preserve"> or senior management a former employee or partner of the current external auditor (in the past 2 years)?</w:t>
            </w:r>
            <w:r>
              <w:rPr>
                <w:rFonts w:ascii="Calibri" w:hAnsi="Calibri"/>
                <w:sz w:val="20"/>
                <w:szCs w:val="20"/>
              </w:rPr>
              <w:t xml:space="preserve">  </w:t>
            </w:r>
          </w:p>
        </w:tc>
        <w:tc>
          <w:tcPr>
            <w:tcW w:w="4252" w:type="dxa"/>
          </w:tcPr>
          <w:p w:rsidR="00DD686F" w:rsidRDefault="00DD686F" w:rsidP="009D6348">
            <w:pPr>
              <w:rPr>
                <w:rFonts w:ascii="Calibri" w:hAnsi="Calibri"/>
                <w:sz w:val="20"/>
                <w:szCs w:val="20"/>
              </w:rPr>
            </w:pPr>
            <w:r>
              <w:rPr>
                <w:rFonts w:ascii="Calibri" w:hAnsi="Calibri"/>
                <w:b/>
                <w:bCs/>
                <w:sz w:val="20"/>
                <w:szCs w:val="20"/>
              </w:rPr>
              <w:t xml:space="preserve">OECD Principle V </w:t>
            </w:r>
            <w:r>
              <w:rPr>
                <w:rFonts w:ascii="Calibri" w:hAnsi="Calibri"/>
                <w:sz w:val="20"/>
                <w:szCs w:val="20"/>
              </w:rPr>
              <w:br/>
              <w:t>(C) An annual audit should be conducted by an independent, competent and qualified, auditor in order to provide an external and objective assurance to the board and shareholders that the financial statements fairly represent the financial position and performance of the company in all material respects.</w:t>
            </w:r>
            <w:r>
              <w:rPr>
                <w:rFonts w:ascii="Calibri" w:hAnsi="Calibri"/>
                <w:sz w:val="20"/>
                <w:szCs w:val="20"/>
              </w:rPr>
              <w:br/>
            </w:r>
            <w:r>
              <w:rPr>
                <w:rFonts w:ascii="Calibri" w:hAnsi="Calibri"/>
                <w:sz w:val="20"/>
                <w:szCs w:val="20"/>
              </w:rPr>
              <w:br/>
              <w:t>Examples of other provisions to underpin auditor independence include, a total ban or severe limitation on the nature of non-audit work which can be undertaken by an auditor for their audit client, mandatory rotation of auditors (either partners or in some cases the audit partnership), a temporary ban on the employment of an ex-auditor by the audited company and prohibiting auditors or their dependents from having a financial stake or management role in the companies they audit.</w:t>
            </w:r>
          </w:p>
        </w:tc>
        <w:tc>
          <w:tcPr>
            <w:tcW w:w="1087" w:type="dxa"/>
          </w:tcPr>
          <w:p w:rsidR="00DD686F" w:rsidRDefault="00DD686F" w:rsidP="009D6348">
            <w:pPr>
              <w:jc w:val="center"/>
              <w:rPr>
                <w:b/>
                <w:sz w:val="20"/>
                <w:szCs w:val="20"/>
              </w:rPr>
            </w:pPr>
            <w:r>
              <w:rPr>
                <w:b/>
                <w:sz w:val="20"/>
                <w:szCs w:val="20"/>
              </w:rPr>
              <w:t>N</w:t>
            </w:r>
          </w:p>
        </w:tc>
        <w:tc>
          <w:tcPr>
            <w:tcW w:w="4215" w:type="dxa"/>
          </w:tcPr>
          <w:p w:rsidR="00DD686F" w:rsidRDefault="00DD686F" w:rsidP="009D6348">
            <w:pPr>
              <w:rPr>
                <w:b/>
                <w:sz w:val="20"/>
                <w:szCs w:val="20"/>
              </w:rPr>
            </w:pPr>
            <w:hyperlink r:id="rId9" w:history="1">
              <w:r w:rsidRPr="003C0E84">
                <w:rPr>
                  <w:rStyle w:val="Hyperlink"/>
                  <w:b/>
                  <w:sz w:val="20"/>
                  <w:szCs w:val="20"/>
                </w:rPr>
                <w:t>Company website (Board of Director)</w:t>
              </w:r>
            </w:hyperlink>
          </w:p>
        </w:tc>
      </w:tr>
      <w:tr w:rsidR="00DD686F" w:rsidTr="009D6348">
        <w:tc>
          <w:tcPr>
            <w:tcW w:w="15400" w:type="dxa"/>
            <w:gridSpan w:val="5"/>
            <w:tcBorders>
              <w:bottom w:val="single" w:sz="4" w:space="0" w:color="auto"/>
            </w:tcBorders>
            <w:shd w:val="clear" w:color="auto" w:fill="FABF8F" w:themeFill="accent6" w:themeFillTint="99"/>
          </w:tcPr>
          <w:p w:rsidR="00DD686F" w:rsidRPr="005033AD" w:rsidRDefault="00DD686F" w:rsidP="009D6348">
            <w:pPr>
              <w:rPr>
                <w:b/>
                <w:sz w:val="20"/>
                <w:szCs w:val="20"/>
              </w:rPr>
            </w:pPr>
            <w:r>
              <w:rPr>
                <w:b/>
                <w:sz w:val="20"/>
                <w:szCs w:val="20"/>
              </w:rPr>
              <w:t xml:space="preserve">E.4 </w:t>
            </w:r>
            <w:r>
              <w:rPr>
                <w:rFonts w:ascii="Calibri" w:hAnsi="Calibri"/>
                <w:b/>
                <w:bCs/>
                <w:sz w:val="20"/>
                <w:szCs w:val="20"/>
              </w:rPr>
              <w:t xml:space="preserve">Board structure and composition </w:t>
            </w:r>
          </w:p>
        </w:tc>
      </w:tr>
      <w:tr w:rsidR="00DD686F" w:rsidTr="009D6348">
        <w:trPr>
          <w:trHeight w:val="233"/>
        </w:trPr>
        <w:tc>
          <w:tcPr>
            <w:tcW w:w="1098" w:type="dxa"/>
            <w:tcBorders>
              <w:top w:val="single" w:sz="4" w:space="0" w:color="auto"/>
            </w:tcBorders>
          </w:tcPr>
          <w:p w:rsidR="00DD686F" w:rsidRDefault="00DD686F" w:rsidP="009D6348">
            <w:pPr>
              <w:rPr>
                <w:rFonts w:ascii="Calibri" w:hAnsi="Calibri"/>
                <w:sz w:val="20"/>
                <w:szCs w:val="20"/>
              </w:rPr>
            </w:pPr>
            <w:r>
              <w:rPr>
                <w:rFonts w:ascii="Calibri" w:hAnsi="Calibri"/>
                <w:sz w:val="20"/>
                <w:szCs w:val="20"/>
              </w:rPr>
              <w:lastRenderedPageBreak/>
              <w:t>E.4.1 (P)</w:t>
            </w:r>
          </w:p>
        </w:tc>
        <w:tc>
          <w:tcPr>
            <w:tcW w:w="4748" w:type="dxa"/>
            <w:tcBorders>
              <w:top w:val="single" w:sz="4" w:space="0" w:color="auto"/>
            </w:tcBorders>
          </w:tcPr>
          <w:p w:rsidR="00DD686F" w:rsidRDefault="00DD686F" w:rsidP="009D6348">
            <w:pPr>
              <w:rPr>
                <w:rFonts w:ascii="Calibri" w:hAnsi="Calibri"/>
                <w:sz w:val="20"/>
                <w:szCs w:val="20"/>
              </w:rPr>
            </w:pPr>
            <w:proofErr w:type="gramStart"/>
            <w:r>
              <w:rPr>
                <w:rFonts w:ascii="Calibri" w:hAnsi="Calibri"/>
                <w:sz w:val="20"/>
                <w:szCs w:val="20"/>
              </w:rPr>
              <w:t>Is</w:t>
            </w:r>
            <w:proofErr w:type="gramEnd"/>
            <w:r>
              <w:rPr>
                <w:rFonts w:ascii="Calibri" w:hAnsi="Calibri"/>
                <w:sz w:val="20"/>
                <w:szCs w:val="20"/>
              </w:rPr>
              <w:t xml:space="preserve"> any of the directors a former CEO of the company in the past 2 years?</w:t>
            </w:r>
          </w:p>
        </w:tc>
        <w:tc>
          <w:tcPr>
            <w:tcW w:w="4252" w:type="dxa"/>
            <w:tcBorders>
              <w:top w:val="single" w:sz="4" w:space="0" w:color="auto"/>
            </w:tcBorders>
          </w:tcPr>
          <w:p w:rsidR="00DD686F" w:rsidRDefault="00DD686F" w:rsidP="009D6348">
            <w:pPr>
              <w:rPr>
                <w:rFonts w:ascii="Calibri" w:hAnsi="Calibri"/>
                <w:sz w:val="20"/>
                <w:szCs w:val="20"/>
              </w:rPr>
            </w:pPr>
            <w:r>
              <w:rPr>
                <w:rFonts w:ascii="Calibri" w:hAnsi="Calibri"/>
                <w:sz w:val="20"/>
                <w:szCs w:val="20"/>
              </w:rPr>
              <w:t> </w:t>
            </w:r>
          </w:p>
        </w:tc>
        <w:tc>
          <w:tcPr>
            <w:tcW w:w="1087" w:type="dxa"/>
            <w:tcBorders>
              <w:top w:val="single" w:sz="4" w:space="0" w:color="auto"/>
            </w:tcBorders>
          </w:tcPr>
          <w:p w:rsidR="00DD686F" w:rsidRDefault="00DD686F" w:rsidP="009D6348">
            <w:pPr>
              <w:jc w:val="center"/>
              <w:rPr>
                <w:b/>
                <w:sz w:val="20"/>
                <w:szCs w:val="20"/>
              </w:rPr>
            </w:pPr>
            <w:r>
              <w:rPr>
                <w:b/>
                <w:sz w:val="20"/>
                <w:szCs w:val="20"/>
              </w:rPr>
              <w:t>Y</w:t>
            </w:r>
          </w:p>
        </w:tc>
        <w:tc>
          <w:tcPr>
            <w:tcW w:w="4215" w:type="dxa"/>
            <w:tcBorders>
              <w:top w:val="single" w:sz="4" w:space="0" w:color="auto"/>
            </w:tcBorders>
          </w:tcPr>
          <w:p w:rsidR="00DD686F" w:rsidRDefault="00DD686F" w:rsidP="009D6348">
            <w:pPr>
              <w:rPr>
                <w:b/>
                <w:sz w:val="20"/>
                <w:szCs w:val="20"/>
              </w:rPr>
            </w:pPr>
            <w:hyperlink r:id="rId10" w:history="1">
              <w:r w:rsidRPr="001E2460">
                <w:rPr>
                  <w:rStyle w:val="Hyperlink"/>
                  <w:b/>
                  <w:sz w:val="20"/>
                  <w:szCs w:val="20"/>
                </w:rPr>
                <w:t>Daniel C. Go is the CEO of MAAGAP for the past 14 years and a director at the same time.</w:t>
              </w:r>
            </w:hyperlink>
          </w:p>
          <w:p w:rsidR="00DD686F" w:rsidRDefault="00DD686F" w:rsidP="009D6348">
            <w:pPr>
              <w:rPr>
                <w:b/>
                <w:sz w:val="20"/>
                <w:szCs w:val="20"/>
              </w:rPr>
            </w:pPr>
          </w:p>
        </w:tc>
      </w:tr>
    </w:tbl>
    <w:p w:rsidR="00DD686F" w:rsidRDefault="00DD686F" w:rsidP="00DD686F">
      <w:pPr>
        <w:spacing w:after="0" w:line="240" w:lineRule="auto"/>
      </w:pPr>
    </w:p>
    <w:p w:rsidR="00DD686F" w:rsidRPr="00A53B6A" w:rsidRDefault="00DD686F" w:rsidP="00DD686F"/>
    <w:p w:rsidR="00DD686F" w:rsidRDefault="00DD686F"/>
    <w:sectPr w:rsidR="00DD686F" w:rsidSect="004E1600">
      <w:headerReference w:type="default" r:id="rId1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00" w:rsidRDefault="00AF21F0">
    <w:pPr>
      <w:pStyle w:val="Header"/>
    </w:pPr>
    <w:r>
      <w:rPr>
        <w:noProof/>
      </w:rPr>
      <w:pict>
        <v:rect id="_x0000_s1025" style="position:absolute;margin-left:-5.5pt;margin-top:-9pt;width:170.5pt;height:18pt;z-index:251660288" fillcolor="#ffc000">
          <v:fill color2="fill lighten(51)" focusposition="1" focussize="" method="linear sigma" focus="100%" type="gradient"/>
          <v:textbox>
            <w:txbxContent>
              <w:p w:rsidR="002043DA" w:rsidRPr="002043DA" w:rsidRDefault="00AF21F0" w:rsidP="002043DA">
                <w:pPr>
                  <w:jc w:val="center"/>
                  <w:rPr>
                    <w:b/>
                    <w:sz w:val="20"/>
                  </w:rPr>
                </w:pPr>
                <w:r w:rsidRPr="002043DA">
                  <w:rPr>
                    <w:b/>
                    <w:sz w:val="20"/>
                  </w:rPr>
                  <w:t xml:space="preserve">MAA General Assurance </w:t>
                </w:r>
                <w:proofErr w:type="spellStart"/>
                <w:r w:rsidRPr="002043DA">
                  <w:rPr>
                    <w:b/>
                    <w:sz w:val="20"/>
                  </w:rPr>
                  <w:t>Phils</w:t>
                </w:r>
                <w:proofErr w:type="spellEnd"/>
                <w:r w:rsidRPr="002043DA">
                  <w:rPr>
                    <w:b/>
                    <w:sz w:val="20"/>
                  </w:rPr>
                  <w:t xml:space="preserve">., </w:t>
                </w:r>
                <w:r w:rsidRPr="002043DA">
                  <w:rPr>
                    <w:b/>
                    <w:sz w:val="20"/>
                  </w:rPr>
                  <w:t>Inc.</w:t>
                </w:r>
              </w:p>
            </w:txbxContent>
          </v:textbox>
        </v:rect>
      </w:pict>
    </w:r>
    <w:r>
      <w:rPr>
        <w:noProof/>
      </w:rPr>
      <w:pict>
        <v:rect id="_x0000_s1026" style="position:absolute;margin-left:165pt;margin-top:-9pt;width:555.5pt;height:18pt;z-index:251661312" fillcolor="black [3200]" stroked="f" strokecolor="#f2f2f2 [3041]" strokeweight="3pt">
          <v:fill color2="fill lighten(51)" focusposition="1" focussize="" method="linear sigma" type="gradient"/>
          <v:shadow on="t" type="perspective" color="#7f7f7f [1601]" opacity=".5" offset="1pt" offset2="-1pt"/>
          <v:textbox>
            <w:txbxContent>
              <w:p w:rsidR="002043DA" w:rsidRPr="002043DA" w:rsidRDefault="00AF21F0" w:rsidP="002043DA">
                <w:pPr>
                  <w:jc w:val="center"/>
                  <w:rPr>
                    <w:b/>
                    <w:sz w:val="20"/>
                  </w:rPr>
                </w:pPr>
                <w:r>
                  <w:rPr>
                    <w:b/>
                    <w:sz w:val="20"/>
                  </w:rPr>
                  <w:t>ASEAN Corporate Governance Scorecard 2014 – Self Assessment</w:t>
                </w: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3074"/>
    <o:shapelayout v:ext="edit">
      <o:idmap v:ext="edit" data="1"/>
    </o:shapelayout>
  </w:hdrShapeDefaults>
  <w:compat/>
  <w:rsids>
    <w:rsidRoot w:val="00DD686F"/>
    <w:rsid w:val="000079A8"/>
    <w:rsid w:val="00AF21F0"/>
    <w:rsid w:val="00DD6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D6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86F"/>
  </w:style>
  <w:style w:type="character" w:styleId="Hyperlink">
    <w:name w:val="Hyperlink"/>
    <w:basedOn w:val="DefaultParagraphFont"/>
    <w:uiPriority w:val="99"/>
    <w:unhideWhenUsed/>
    <w:rsid w:val="00DD68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a.com.ph/Code%20of%20Business%20Conduct%20and%20Ethic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a.com.ph/010602-risk.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a.com.ph/Manual%20on%20Corporate%20Governance.pdf" TargetMode="External"/><Relationship Id="rId11" Type="http://schemas.openxmlformats.org/officeDocument/2006/relationships/header" Target="header1.xml"/><Relationship Id="rId5" Type="http://schemas.openxmlformats.org/officeDocument/2006/relationships/hyperlink" Target="http://passthrough.fw-notify.net/download/363356/http:/www.maa.com.ph/AFS.pdf" TargetMode="External"/><Relationship Id="rId10" Type="http://schemas.openxmlformats.org/officeDocument/2006/relationships/hyperlink" Target="http://www.maa.com.ph/0103-board.php" TargetMode="External"/><Relationship Id="rId4" Type="http://schemas.openxmlformats.org/officeDocument/2006/relationships/hyperlink" Target="http://www.maa.com.ph/NOTICE%20OF%20AGM%202015.docx" TargetMode="External"/><Relationship Id="rId9" Type="http://schemas.openxmlformats.org/officeDocument/2006/relationships/hyperlink" Target="http://www.maa.com.ph/0103-boar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2850</Words>
  <Characters>16249</Characters>
  <Application>Microsoft Office Word</Application>
  <DocSecurity>0</DocSecurity>
  <Lines>135</Lines>
  <Paragraphs>38</Paragraphs>
  <ScaleCrop>false</ScaleCrop>
  <Company/>
  <LinksUpToDate>false</LinksUpToDate>
  <CharactersWithSpaces>19061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roticio</dc:creator>
  <cp:lastModifiedBy>roticio</cp:lastModifiedBy>
  <cp:revision>1</cp:revision>
  <dcterms:created xsi:type="dcterms:W3CDTF">2015-06-15T10:01:00Z</dcterms:created>
  <dcterms:modified xsi:type="dcterms:W3CDTF">2015-06-15T10:02:00Z</dcterms:modified>
</cp:coreProperties>
</file>